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B201" w14:textId="4C26DCB8" w:rsidR="00961256" w:rsidRDefault="00227885" w:rsidP="00032FCB">
      <w:pPr>
        <w:spacing w:before="240"/>
        <w:jc w:val="center"/>
        <w:rPr>
          <w:rFonts w:ascii="Arial" w:eastAsiaTheme="majorEastAsia" w:hAnsi="Arial" w:cs="Arial"/>
          <w:b/>
          <w:bCs/>
          <w:color w:val="0070C0"/>
          <w:spacing w:val="-10"/>
          <w:kern w:val="28"/>
          <w:sz w:val="36"/>
          <w:szCs w:val="36"/>
          <w:lang w:val="en-US"/>
        </w:rPr>
      </w:pPr>
      <w:r>
        <w:rPr>
          <w:rFonts w:ascii="Arial" w:eastAsiaTheme="majorEastAsia" w:hAnsi="Arial" w:cs="Arial"/>
          <w:b/>
          <w:bCs/>
          <w:color w:val="0070C0"/>
          <w:spacing w:val="-10"/>
          <w:kern w:val="28"/>
          <w:sz w:val="36"/>
          <w:szCs w:val="36"/>
          <w:lang w:val="en-US"/>
        </w:rPr>
        <w:t>DRAFT</w:t>
      </w:r>
    </w:p>
    <w:p w14:paraId="3666D5D3" w14:textId="77777777" w:rsidR="00961256" w:rsidRDefault="00961256" w:rsidP="00032FCB">
      <w:pPr>
        <w:spacing w:before="240"/>
        <w:jc w:val="center"/>
        <w:rPr>
          <w:rFonts w:ascii="Arial" w:eastAsiaTheme="majorEastAsia" w:hAnsi="Arial" w:cs="Arial"/>
          <w:b/>
          <w:bCs/>
          <w:color w:val="0070C0"/>
          <w:spacing w:val="-10"/>
          <w:kern w:val="28"/>
          <w:sz w:val="36"/>
          <w:szCs w:val="36"/>
          <w:lang w:val="en-US"/>
        </w:rPr>
      </w:pPr>
    </w:p>
    <w:p w14:paraId="195FC150" w14:textId="149BC1CF" w:rsidR="005F5C71" w:rsidRPr="00961256" w:rsidRDefault="005F5C71" w:rsidP="00032FCB">
      <w:pPr>
        <w:spacing w:before="240"/>
        <w:jc w:val="center"/>
        <w:rPr>
          <w:rFonts w:ascii="Arial" w:eastAsiaTheme="majorEastAsia" w:hAnsi="Arial" w:cs="Arial"/>
          <w:b/>
          <w:bCs/>
          <w:color w:val="0070C0"/>
          <w:spacing w:val="-10"/>
          <w:kern w:val="28"/>
          <w:sz w:val="42"/>
          <w:szCs w:val="42"/>
          <w:lang w:val="en-US"/>
        </w:rPr>
      </w:pPr>
      <w:r w:rsidRPr="00961256">
        <w:rPr>
          <w:rFonts w:ascii="Arial" w:eastAsiaTheme="majorEastAsia" w:hAnsi="Arial" w:cs="Arial"/>
          <w:b/>
          <w:bCs/>
          <w:color w:val="0070C0"/>
          <w:spacing w:val="-10"/>
          <w:kern w:val="28"/>
          <w:sz w:val="42"/>
          <w:szCs w:val="42"/>
          <w:lang w:val="en-US"/>
        </w:rPr>
        <w:t>Marshall Islands Maritime Investment Project</w:t>
      </w:r>
    </w:p>
    <w:p w14:paraId="2DD6B605" w14:textId="5BE9D750" w:rsidR="00032FCB" w:rsidRPr="00961256" w:rsidRDefault="00961256" w:rsidP="00F24700">
      <w:pPr>
        <w:spacing w:before="240"/>
        <w:jc w:val="center"/>
        <w:rPr>
          <w:rFonts w:ascii="Arial" w:eastAsiaTheme="majorEastAsia" w:hAnsi="Arial" w:cs="Arial"/>
          <w:b/>
          <w:bCs/>
          <w:color w:val="0070C0"/>
          <w:spacing w:val="-10"/>
          <w:kern w:val="28"/>
          <w:sz w:val="42"/>
          <w:szCs w:val="42"/>
          <w:lang w:val="en-US"/>
        </w:rPr>
      </w:pPr>
      <w:r w:rsidRPr="00961256">
        <w:rPr>
          <w:rFonts w:ascii="Arial" w:eastAsiaTheme="majorEastAsia" w:hAnsi="Arial" w:cs="Arial"/>
          <w:b/>
          <w:bCs/>
          <w:color w:val="0070C0"/>
          <w:spacing w:val="-10"/>
          <w:kern w:val="28"/>
          <w:sz w:val="42"/>
          <w:szCs w:val="42"/>
          <w:lang w:val="en-US"/>
        </w:rPr>
        <w:t>(</w:t>
      </w:r>
      <w:r w:rsidR="00E123CE" w:rsidRPr="00961256">
        <w:rPr>
          <w:rFonts w:ascii="Arial" w:eastAsiaTheme="majorEastAsia" w:hAnsi="Arial" w:cs="Arial"/>
          <w:b/>
          <w:bCs/>
          <w:color w:val="0070C0"/>
          <w:spacing w:val="-10"/>
          <w:kern w:val="28"/>
          <w:sz w:val="42"/>
          <w:szCs w:val="42"/>
          <w:lang w:val="en-US"/>
        </w:rPr>
        <w:t>MIMIP</w:t>
      </w:r>
      <w:r w:rsidRPr="00961256">
        <w:rPr>
          <w:rFonts w:ascii="Arial" w:eastAsiaTheme="majorEastAsia" w:hAnsi="Arial" w:cs="Arial"/>
          <w:b/>
          <w:bCs/>
          <w:color w:val="0070C0"/>
          <w:spacing w:val="-10"/>
          <w:kern w:val="28"/>
          <w:sz w:val="42"/>
          <w:szCs w:val="42"/>
          <w:lang w:val="en-US"/>
        </w:rPr>
        <w:t>)</w:t>
      </w:r>
    </w:p>
    <w:p w14:paraId="34F60F59" w14:textId="77777777" w:rsidR="00961256" w:rsidRPr="00961256" w:rsidRDefault="00961256" w:rsidP="00F24700">
      <w:pPr>
        <w:spacing w:before="240"/>
        <w:jc w:val="center"/>
        <w:rPr>
          <w:rFonts w:ascii="Arial" w:eastAsiaTheme="majorEastAsia" w:hAnsi="Arial" w:cs="Arial"/>
          <w:color w:val="0070C0"/>
          <w:spacing w:val="-10"/>
          <w:kern w:val="28"/>
          <w:sz w:val="36"/>
          <w:szCs w:val="36"/>
          <w:lang w:val="en-US"/>
        </w:rPr>
      </w:pPr>
    </w:p>
    <w:p w14:paraId="4AC6BB66" w14:textId="65AD5F9D" w:rsidR="00797157" w:rsidRPr="00961256" w:rsidRDefault="00032FCB" w:rsidP="00F24700">
      <w:pPr>
        <w:spacing w:before="240"/>
        <w:jc w:val="center"/>
        <w:rPr>
          <w:rFonts w:ascii="Arial" w:eastAsiaTheme="majorEastAsia" w:hAnsi="Arial" w:cs="Arial"/>
          <w:b/>
          <w:bCs/>
          <w:color w:val="00B0F0"/>
          <w:spacing w:val="-10"/>
          <w:kern w:val="28"/>
          <w:sz w:val="44"/>
          <w:szCs w:val="44"/>
          <w:lang w:val="en-US"/>
        </w:rPr>
      </w:pPr>
      <w:r w:rsidRPr="00961256">
        <w:rPr>
          <w:rFonts w:ascii="Arial" w:eastAsiaTheme="majorEastAsia" w:hAnsi="Arial" w:cs="Arial"/>
          <w:b/>
          <w:bCs/>
          <w:color w:val="00B0F0"/>
          <w:spacing w:val="-10"/>
          <w:kern w:val="28"/>
          <w:sz w:val="44"/>
          <w:szCs w:val="44"/>
          <w:lang w:val="en-US"/>
        </w:rPr>
        <w:t xml:space="preserve">Stakeholder Engagement </w:t>
      </w:r>
    </w:p>
    <w:p w14:paraId="749D7E9C" w14:textId="3E38B2CD" w:rsidR="00DB202B" w:rsidRPr="00961256" w:rsidRDefault="00DB202B" w:rsidP="00F24700">
      <w:pPr>
        <w:spacing w:before="240"/>
        <w:jc w:val="center"/>
        <w:rPr>
          <w:rFonts w:ascii="Arial" w:eastAsiaTheme="majorEastAsia" w:hAnsi="Arial" w:cs="Arial"/>
          <w:b/>
          <w:bCs/>
          <w:color w:val="00B0F0"/>
          <w:spacing w:val="-10"/>
          <w:kern w:val="28"/>
          <w:sz w:val="44"/>
          <w:szCs w:val="44"/>
          <w:lang w:val="en-US"/>
        </w:rPr>
      </w:pPr>
      <w:r w:rsidRPr="00961256">
        <w:rPr>
          <w:rFonts w:ascii="Arial" w:eastAsiaTheme="majorEastAsia" w:hAnsi="Arial" w:cs="Arial"/>
          <w:b/>
          <w:bCs/>
          <w:color w:val="00B0F0"/>
          <w:spacing w:val="-10"/>
          <w:kern w:val="28"/>
          <w:sz w:val="44"/>
          <w:szCs w:val="44"/>
          <w:lang w:val="en-US"/>
        </w:rPr>
        <w:t>Action Plan</w:t>
      </w:r>
      <w:r w:rsidR="003779F3" w:rsidRPr="00961256">
        <w:rPr>
          <w:rFonts w:ascii="Arial" w:eastAsiaTheme="majorEastAsia" w:hAnsi="Arial" w:cs="Arial"/>
          <w:b/>
          <w:bCs/>
          <w:color w:val="00B0F0"/>
          <w:spacing w:val="-10"/>
          <w:kern w:val="28"/>
          <w:sz w:val="44"/>
          <w:szCs w:val="44"/>
          <w:lang w:val="en-US"/>
        </w:rPr>
        <w:t xml:space="preserve"> </w:t>
      </w:r>
      <w:r w:rsidR="00E123CE" w:rsidRPr="00961256">
        <w:rPr>
          <w:rFonts w:ascii="Arial" w:eastAsiaTheme="majorEastAsia" w:hAnsi="Arial" w:cs="Arial"/>
          <w:b/>
          <w:bCs/>
          <w:color w:val="00B0F0"/>
          <w:spacing w:val="-10"/>
          <w:kern w:val="28"/>
          <w:sz w:val="44"/>
          <w:szCs w:val="44"/>
          <w:lang w:val="en-US"/>
        </w:rPr>
        <w:t>f</w:t>
      </w:r>
      <w:r w:rsidR="00F256C3" w:rsidRPr="00961256">
        <w:rPr>
          <w:rFonts w:ascii="Arial" w:eastAsiaTheme="majorEastAsia" w:hAnsi="Arial" w:cs="Arial"/>
          <w:b/>
          <w:bCs/>
          <w:color w:val="00B0F0"/>
          <w:spacing w:val="-10"/>
          <w:kern w:val="28"/>
          <w:sz w:val="44"/>
          <w:szCs w:val="44"/>
          <w:lang w:val="en-US"/>
        </w:rPr>
        <w:t>or</w:t>
      </w:r>
    </w:p>
    <w:p w14:paraId="116C248C" w14:textId="7FD0F55C" w:rsidR="00797157" w:rsidRPr="00961256" w:rsidRDefault="00100340" w:rsidP="00F24700">
      <w:pPr>
        <w:spacing w:before="240"/>
        <w:jc w:val="center"/>
        <w:rPr>
          <w:rFonts w:ascii="Arial" w:eastAsiaTheme="majorEastAsia" w:hAnsi="Arial" w:cs="Arial"/>
          <w:b/>
          <w:bCs/>
          <w:color w:val="00B0F0"/>
          <w:spacing w:val="-10"/>
          <w:kern w:val="28"/>
          <w:sz w:val="44"/>
          <w:szCs w:val="44"/>
          <w:lang w:val="en-US"/>
        </w:rPr>
      </w:pPr>
      <w:r w:rsidRPr="00961256">
        <w:rPr>
          <w:rFonts w:ascii="Arial" w:eastAsiaTheme="majorEastAsia" w:hAnsi="Arial" w:cs="Arial"/>
          <w:b/>
          <w:bCs/>
          <w:color w:val="00B0F0"/>
          <w:spacing w:val="-10"/>
          <w:kern w:val="28"/>
          <w:sz w:val="44"/>
          <w:szCs w:val="44"/>
          <w:lang w:val="en-US"/>
        </w:rPr>
        <w:t>April 202</w:t>
      </w:r>
      <w:r w:rsidR="00C06502">
        <w:rPr>
          <w:rFonts w:ascii="Arial" w:eastAsiaTheme="majorEastAsia" w:hAnsi="Arial" w:cs="Arial"/>
          <w:b/>
          <w:bCs/>
          <w:color w:val="00B0F0"/>
          <w:spacing w:val="-10"/>
          <w:kern w:val="28"/>
          <w:sz w:val="44"/>
          <w:szCs w:val="44"/>
          <w:lang w:val="en-US"/>
        </w:rPr>
        <w:t>2</w:t>
      </w:r>
      <w:r w:rsidRPr="00961256">
        <w:rPr>
          <w:rFonts w:ascii="Arial" w:eastAsiaTheme="majorEastAsia" w:hAnsi="Arial" w:cs="Arial"/>
          <w:b/>
          <w:bCs/>
          <w:color w:val="00B0F0"/>
          <w:spacing w:val="-10"/>
          <w:kern w:val="28"/>
          <w:sz w:val="44"/>
          <w:szCs w:val="44"/>
          <w:lang w:val="en-US"/>
        </w:rPr>
        <w:t xml:space="preserve"> </w:t>
      </w:r>
      <w:r w:rsidR="00F256C3" w:rsidRPr="00961256">
        <w:rPr>
          <w:rFonts w:ascii="Arial" w:eastAsiaTheme="majorEastAsia" w:hAnsi="Arial" w:cs="Arial"/>
          <w:b/>
          <w:bCs/>
          <w:color w:val="00B0F0"/>
          <w:spacing w:val="-10"/>
          <w:kern w:val="28"/>
          <w:sz w:val="44"/>
          <w:szCs w:val="44"/>
          <w:lang w:val="en-US"/>
        </w:rPr>
        <w:t xml:space="preserve">to </w:t>
      </w:r>
      <w:r w:rsidRPr="00961256">
        <w:rPr>
          <w:rFonts w:ascii="Arial" w:eastAsiaTheme="majorEastAsia" w:hAnsi="Arial" w:cs="Arial"/>
          <w:b/>
          <w:bCs/>
          <w:color w:val="00B0F0"/>
          <w:spacing w:val="-10"/>
          <w:kern w:val="28"/>
          <w:sz w:val="44"/>
          <w:szCs w:val="44"/>
          <w:lang w:val="en-US"/>
        </w:rPr>
        <w:t>April</w:t>
      </w:r>
      <w:r w:rsidR="00F256C3" w:rsidRPr="00961256">
        <w:rPr>
          <w:rFonts w:ascii="Arial" w:eastAsiaTheme="majorEastAsia" w:hAnsi="Arial" w:cs="Arial"/>
          <w:b/>
          <w:bCs/>
          <w:color w:val="00B0F0"/>
          <w:spacing w:val="-10"/>
          <w:kern w:val="28"/>
          <w:sz w:val="44"/>
          <w:szCs w:val="44"/>
          <w:lang w:val="en-US"/>
        </w:rPr>
        <w:t xml:space="preserve"> </w:t>
      </w:r>
      <w:r w:rsidRPr="00961256">
        <w:rPr>
          <w:rFonts w:ascii="Arial" w:eastAsiaTheme="majorEastAsia" w:hAnsi="Arial" w:cs="Arial"/>
          <w:b/>
          <w:bCs/>
          <w:color w:val="00B0F0"/>
          <w:spacing w:val="-10"/>
          <w:kern w:val="28"/>
          <w:sz w:val="44"/>
          <w:szCs w:val="44"/>
          <w:lang w:val="en-US"/>
        </w:rPr>
        <w:t>202</w:t>
      </w:r>
      <w:r w:rsidR="00C06502">
        <w:rPr>
          <w:rFonts w:ascii="Arial" w:eastAsiaTheme="majorEastAsia" w:hAnsi="Arial" w:cs="Arial"/>
          <w:b/>
          <w:bCs/>
          <w:color w:val="00B0F0"/>
          <w:spacing w:val="-10"/>
          <w:kern w:val="28"/>
          <w:sz w:val="44"/>
          <w:szCs w:val="44"/>
          <w:lang w:val="en-US"/>
        </w:rPr>
        <w:t>3</w:t>
      </w:r>
    </w:p>
    <w:p w14:paraId="4CD3CBDF" w14:textId="3862494C" w:rsidR="00A821B1" w:rsidRDefault="00A821B1" w:rsidP="00A821B1">
      <w:pPr>
        <w:spacing w:before="240"/>
        <w:jc w:val="center"/>
        <w:rPr>
          <w:rFonts w:eastAsiaTheme="majorEastAsia" w:cstheme="majorBidi"/>
          <w:color w:val="0070C0"/>
          <w:spacing w:val="-10"/>
          <w:kern w:val="28"/>
          <w:sz w:val="56"/>
          <w:szCs w:val="56"/>
          <w:lang w:val="en-US"/>
        </w:rPr>
      </w:pPr>
    </w:p>
    <w:p w14:paraId="2DA2C4FF" w14:textId="586C430D" w:rsidR="00E123CE" w:rsidRDefault="00E123CE" w:rsidP="00A821B1">
      <w:pPr>
        <w:spacing w:before="240"/>
        <w:jc w:val="center"/>
        <w:rPr>
          <w:rFonts w:eastAsiaTheme="majorEastAsia" w:cstheme="majorBidi"/>
          <w:color w:val="0070C0"/>
          <w:spacing w:val="-10"/>
          <w:kern w:val="28"/>
          <w:sz w:val="56"/>
          <w:szCs w:val="56"/>
          <w:lang w:val="en-US"/>
        </w:rPr>
      </w:pPr>
    </w:p>
    <w:p w14:paraId="4C553073" w14:textId="7B3086BD" w:rsidR="00E123CE" w:rsidRDefault="00E123CE" w:rsidP="00A821B1">
      <w:pPr>
        <w:spacing w:before="240"/>
        <w:jc w:val="center"/>
        <w:rPr>
          <w:rFonts w:eastAsiaTheme="majorEastAsia" w:cstheme="majorBidi"/>
          <w:color w:val="0070C0"/>
          <w:spacing w:val="-10"/>
          <w:kern w:val="28"/>
          <w:sz w:val="56"/>
          <w:szCs w:val="56"/>
          <w:lang w:val="en-US"/>
        </w:rPr>
      </w:pPr>
    </w:p>
    <w:p w14:paraId="6138DA99" w14:textId="77777777" w:rsidR="00E123CE" w:rsidRDefault="00E123CE" w:rsidP="00A821B1">
      <w:pPr>
        <w:spacing w:before="240"/>
        <w:jc w:val="center"/>
        <w:rPr>
          <w:rFonts w:eastAsiaTheme="majorEastAsia" w:cstheme="majorBidi"/>
          <w:color w:val="0070C0"/>
          <w:spacing w:val="-10"/>
          <w:kern w:val="28"/>
          <w:sz w:val="56"/>
          <w:szCs w:val="56"/>
          <w:lang w:val="en-US"/>
        </w:rPr>
      </w:pPr>
    </w:p>
    <w:p w14:paraId="7A1D6AFE" w14:textId="77777777" w:rsidR="00961256" w:rsidRDefault="00961256" w:rsidP="00E123CE">
      <w:pPr>
        <w:spacing w:before="240"/>
        <w:jc w:val="center"/>
        <w:rPr>
          <w:rFonts w:eastAsiaTheme="majorEastAsia" w:cstheme="majorBidi"/>
          <w:color w:val="0070C0"/>
          <w:spacing w:val="-10"/>
          <w:kern w:val="28"/>
          <w:sz w:val="32"/>
          <w:szCs w:val="32"/>
          <w:lang w:val="en-US"/>
        </w:rPr>
      </w:pPr>
    </w:p>
    <w:p w14:paraId="3FB0E0B4" w14:textId="77777777" w:rsidR="00961256" w:rsidRDefault="00961256" w:rsidP="00E123CE">
      <w:pPr>
        <w:spacing w:before="240"/>
        <w:jc w:val="center"/>
        <w:rPr>
          <w:rFonts w:eastAsiaTheme="majorEastAsia" w:cstheme="majorBidi"/>
          <w:color w:val="0070C0"/>
          <w:spacing w:val="-10"/>
          <w:kern w:val="28"/>
          <w:sz w:val="32"/>
          <w:szCs w:val="32"/>
          <w:lang w:val="en-US"/>
        </w:rPr>
      </w:pPr>
    </w:p>
    <w:p w14:paraId="7E4CC173" w14:textId="559E946C" w:rsidR="003779F3" w:rsidRPr="00961256" w:rsidRDefault="00E123CE" w:rsidP="00E123CE">
      <w:pPr>
        <w:spacing w:before="240"/>
        <w:jc w:val="center"/>
        <w:rPr>
          <w:rFonts w:eastAsiaTheme="majorEastAsia" w:cstheme="majorBidi"/>
          <w:b/>
          <w:bCs/>
          <w:color w:val="0070C0"/>
          <w:spacing w:val="-10"/>
          <w:kern w:val="28"/>
          <w:sz w:val="32"/>
          <w:szCs w:val="32"/>
          <w:lang w:val="en-US"/>
        </w:rPr>
      </w:pPr>
      <w:r w:rsidRPr="00961256">
        <w:rPr>
          <w:rFonts w:eastAsiaTheme="majorEastAsia" w:cstheme="majorBidi"/>
          <w:b/>
          <w:bCs/>
          <w:color w:val="0070C0"/>
          <w:spacing w:val="-10"/>
          <w:kern w:val="28"/>
          <w:sz w:val="32"/>
          <w:szCs w:val="32"/>
          <w:lang w:val="en-US"/>
        </w:rPr>
        <w:t>Prepared by</w:t>
      </w:r>
    </w:p>
    <w:p w14:paraId="121FBEE5" w14:textId="77777777" w:rsidR="00AF1856" w:rsidRPr="00961256" w:rsidRDefault="00AF1856" w:rsidP="00E123CE">
      <w:pPr>
        <w:spacing w:before="240"/>
        <w:jc w:val="center"/>
        <w:rPr>
          <w:rFonts w:eastAsiaTheme="majorEastAsia" w:cstheme="majorBidi"/>
          <w:b/>
          <w:bCs/>
          <w:color w:val="0070C0"/>
          <w:spacing w:val="-10"/>
          <w:kern w:val="28"/>
          <w:sz w:val="32"/>
          <w:szCs w:val="32"/>
          <w:lang w:val="en-US"/>
        </w:rPr>
      </w:pPr>
      <w:r w:rsidRPr="00961256">
        <w:rPr>
          <w:rFonts w:eastAsiaTheme="majorEastAsia" w:cstheme="majorBidi"/>
          <w:b/>
          <w:bCs/>
          <w:color w:val="0070C0"/>
          <w:spacing w:val="-10"/>
          <w:kern w:val="28"/>
          <w:sz w:val="32"/>
          <w:szCs w:val="32"/>
          <w:lang w:val="en-US"/>
        </w:rPr>
        <w:t>CIU Safeguards Team</w:t>
      </w:r>
    </w:p>
    <w:p w14:paraId="5D3E4177" w14:textId="7392404D" w:rsidR="00E123CE" w:rsidRPr="00961256" w:rsidRDefault="00C06502" w:rsidP="00E123CE">
      <w:pPr>
        <w:jc w:val="center"/>
        <w:rPr>
          <w:rFonts w:eastAsiaTheme="majorEastAsia" w:cstheme="majorBidi"/>
          <w:b/>
          <w:bCs/>
          <w:color w:val="0070C0"/>
          <w:spacing w:val="-10"/>
          <w:kern w:val="28"/>
          <w:sz w:val="32"/>
          <w:szCs w:val="32"/>
          <w:lang w:val="en-US"/>
        </w:rPr>
      </w:pPr>
      <w:r>
        <w:rPr>
          <w:rFonts w:eastAsiaTheme="majorEastAsia" w:cstheme="majorBidi"/>
          <w:b/>
          <w:bCs/>
          <w:color w:val="0070C0"/>
          <w:spacing w:val="-10"/>
          <w:kern w:val="28"/>
          <w:sz w:val="32"/>
          <w:szCs w:val="32"/>
          <w:lang w:val="en-US"/>
        </w:rPr>
        <w:t>April 2022</w:t>
      </w:r>
    </w:p>
    <w:p w14:paraId="5733FE78" w14:textId="1CAC3C51" w:rsidR="0018075A" w:rsidRPr="00E123CE" w:rsidRDefault="0018075A" w:rsidP="00E123CE">
      <w:pPr>
        <w:jc w:val="center"/>
        <w:rPr>
          <w:sz w:val="32"/>
          <w:szCs w:val="32"/>
          <w:lang w:val="en-US"/>
        </w:rPr>
      </w:pPr>
      <w:r w:rsidRPr="00E123CE">
        <w:rPr>
          <w:sz w:val="32"/>
          <w:szCs w:val="32"/>
          <w:lang w:val="en-US"/>
        </w:rPr>
        <w:br w:type="page"/>
      </w:r>
    </w:p>
    <w:sdt>
      <w:sdtPr>
        <w:id w:val="1623656366"/>
        <w:docPartObj>
          <w:docPartGallery w:val="Table of Contents"/>
          <w:docPartUnique/>
        </w:docPartObj>
      </w:sdtPr>
      <w:sdtEndPr>
        <w:rPr>
          <w:b/>
          <w:bCs/>
        </w:rPr>
      </w:sdtEndPr>
      <w:sdtContent>
        <w:p w14:paraId="00B62028" w14:textId="77777777" w:rsidR="00F66BC1" w:rsidRPr="00D71151" w:rsidRDefault="00F66BC1" w:rsidP="00F24700">
          <w:pPr>
            <w:rPr>
              <w:b/>
              <w:bCs/>
              <w:color w:val="2F5496" w:themeColor="accent5" w:themeShade="BF"/>
            </w:rPr>
          </w:pPr>
          <w:r w:rsidRPr="00D71151">
            <w:rPr>
              <w:b/>
              <w:bCs/>
              <w:color w:val="2F5496" w:themeColor="accent5" w:themeShade="BF"/>
              <w:sz w:val="32"/>
              <w:szCs w:val="32"/>
            </w:rPr>
            <w:t>Contents</w:t>
          </w:r>
        </w:p>
        <w:p w14:paraId="0C70BEFE" w14:textId="276314FD" w:rsidR="006A645B" w:rsidRDefault="004B6F45">
          <w:pPr>
            <w:pStyle w:val="TOC1"/>
            <w:tabs>
              <w:tab w:val="left" w:pos="440"/>
              <w:tab w:val="right" w:leader="dot" w:pos="9016"/>
            </w:tabs>
            <w:rPr>
              <w:rFonts w:asciiTheme="minorHAnsi" w:eastAsiaTheme="minorEastAsia" w:hAnsiTheme="minorHAnsi"/>
              <w:noProof/>
              <w:lang/>
            </w:rPr>
          </w:pPr>
          <w:r w:rsidRPr="005F5C71">
            <w:rPr>
              <w:lang w:val="en-US"/>
            </w:rPr>
            <w:fldChar w:fldCharType="begin"/>
          </w:r>
          <w:r w:rsidR="00F66BC1" w:rsidRPr="005F5C71">
            <w:rPr>
              <w:lang w:val="en-US"/>
            </w:rPr>
            <w:instrText xml:space="preserve"> TOC \o "1-3" \h \z \u </w:instrText>
          </w:r>
          <w:r w:rsidRPr="005F5C71">
            <w:rPr>
              <w:lang w:val="en-US"/>
            </w:rPr>
            <w:fldChar w:fldCharType="separate"/>
          </w:r>
          <w:hyperlink w:anchor="_Toc98072617" w:history="1">
            <w:r w:rsidR="006A645B" w:rsidRPr="00B66FD0">
              <w:rPr>
                <w:rStyle w:val="Hyperlink"/>
                <w:noProof/>
                <w:color w:val="034990" w:themeColor="hyperlink" w:themeShade="BF"/>
                <w:lang w:bidi="x-none"/>
                <w14:scene3d>
                  <w14:camera w14:prst="orthographicFront"/>
                  <w14:lightRig w14:rig="threePt" w14:dir="t">
                    <w14:rot w14:lat="0" w14:lon="0" w14:rev="0"/>
                  </w14:lightRig>
                </w14:scene3d>
              </w:rPr>
              <w:t>1.</w:t>
            </w:r>
            <w:r w:rsidR="006A645B">
              <w:rPr>
                <w:rFonts w:asciiTheme="minorHAnsi" w:eastAsiaTheme="minorEastAsia" w:hAnsiTheme="minorHAnsi"/>
                <w:noProof/>
                <w:lang/>
              </w:rPr>
              <w:tab/>
            </w:r>
            <w:r w:rsidR="006A645B" w:rsidRPr="00B66FD0">
              <w:rPr>
                <w:rStyle w:val="Hyperlink"/>
                <w:noProof/>
              </w:rPr>
              <w:t>Introduction</w:t>
            </w:r>
            <w:r w:rsidR="006A645B">
              <w:rPr>
                <w:noProof/>
                <w:webHidden/>
              </w:rPr>
              <w:tab/>
            </w:r>
            <w:r w:rsidR="006A645B">
              <w:rPr>
                <w:noProof/>
                <w:webHidden/>
              </w:rPr>
              <w:fldChar w:fldCharType="begin"/>
            </w:r>
            <w:r w:rsidR="006A645B">
              <w:rPr>
                <w:noProof/>
                <w:webHidden/>
              </w:rPr>
              <w:instrText xml:space="preserve"> PAGEREF _Toc98072617 \h </w:instrText>
            </w:r>
            <w:r w:rsidR="006A645B">
              <w:rPr>
                <w:noProof/>
                <w:webHidden/>
              </w:rPr>
            </w:r>
            <w:r w:rsidR="006A645B">
              <w:rPr>
                <w:noProof/>
                <w:webHidden/>
              </w:rPr>
              <w:fldChar w:fldCharType="separate"/>
            </w:r>
            <w:r w:rsidR="006A645B">
              <w:rPr>
                <w:noProof/>
                <w:webHidden/>
              </w:rPr>
              <w:t>1</w:t>
            </w:r>
            <w:r w:rsidR="006A645B">
              <w:rPr>
                <w:noProof/>
                <w:webHidden/>
              </w:rPr>
              <w:fldChar w:fldCharType="end"/>
            </w:r>
          </w:hyperlink>
        </w:p>
        <w:p w14:paraId="5C5BBBA9" w14:textId="517BDD02" w:rsidR="006A645B" w:rsidRDefault="00000000">
          <w:pPr>
            <w:pStyle w:val="TOC2"/>
            <w:tabs>
              <w:tab w:val="left" w:pos="880"/>
              <w:tab w:val="right" w:leader="dot" w:pos="9016"/>
            </w:tabs>
            <w:rPr>
              <w:rFonts w:asciiTheme="minorHAnsi" w:eastAsiaTheme="minorEastAsia" w:hAnsiTheme="minorHAnsi"/>
              <w:noProof/>
              <w:lang/>
            </w:rPr>
          </w:pPr>
          <w:hyperlink w:anchor="_Toc98072618" w:history="1">
            <w:r w:rsidR="006A645B" w:rsidRPr="00B66FD0">
              <w:rPr>
                <w:rStyle w:val="Hyperlink"/>
                <w:noProof/>
              </w:rPr>
              <w:t>1.1.</w:t>
            </w:r>
            <w:r w:rsidR="006A645B">
              <w:rPr>
                <w:rFonts w:asciiTheme="minorHAnsi" w:eastAsiaTheme="minorEastAsia" w:hAnsiTheme="minorHAnsi"/>
                <w:noProof/>
                <w:lang/>
              </w:rPr>
              <w:tab/>
            </w:r>
            <w:r w:rsidR="006A645B" w:rsidRPr="00B66FD0">
              <w:rPr>
                <w:rStyle w:val="Hyperlink"/>
                <w:noProof/>
              </w:rPr>
              <w:t>Background and context</w:t>
            </w:r>
            <w:r w:rsidR="006A645B">
              <w:rPr>
                <w:noProof/>
                <w:webHidden/>
              </w:rPr>
              <w:tab/>
            </w:r>
            <w:r w:rsidR="006A645B">
              <w:rPr>
                <w:noProof/>
                <w:webHidden/>
              </w:rPr>
              <w:fldChar w:fldCharType="begin"/>
            </w:r>
            <w:r w:rsidR="006A645B">
              <w:rPr>
                <w:noProof/>
                <w:webHidden/>
              </w:rPr>
              <w:instrText xml:space="preserve"> PAGEREF _Toc98072618 \h </w:instrText>
            </w:r>
            <w:r w:rsidR="006A645B">
              <w:rPr>
                <w:noProof/>
                <w:webHidden/>
              </w:rPr>
            </w:r>
            <w:r w:rsidR="006A645B">
              <w:rPr>
                <w:noProof/>
                <w:webHidden/>
              </w:rPr>
              <w:fldChar w:fldCharType="separate"/>
            </w:r>
            <w:r w:rsidR="006A645B">
              <w:rPr>
                <w:noProof/>
                <w:webHidden/>
              </w:rPr>
              <w:t>1</w:t>
            </w:r>
            <w:r w:rsidR="006A645B">
              <w:rPr>
                <w:noProof/>
                <w:webHidden/>
              </w:rPr>
              <w:fldChar w:fldCharType="end"/>
            </w:r>
          </w:hyperlink>
        </w:p>
        <w:p w14:paraId="463B34BC" w14:textId="61700898" w:rsidR="006A645B" w:rsidRDefault="00000000">
          <w:pPr>
            <w:pStyle w:val="TOC2"/>
            <w:tabs>
              <w:tab w:val="left" w:pos="880"/>
              <w:tab w:val="right" w:leader="dot" w:pos="9016"/>
            </w:tabs>
            <w:rPr>
              <w:rFonts w:asciiTheme="minorHAnsi" w:eastAsiaTheme="minorEastAsia" w:hAnsiTheme="minorHAnsi"/>
              <w:noProof/>
              <w:lang/>
            </w:rPr>
          </w:pPr>
          <w:hyperlink w:anchor="_Toc98072619" w:history="1">
            <w:r w:rsidR="006A645B" w:rsidRPr="00B66FD0">
              <w:rPr>
                <w:rStyle w:val="Hyperlink"/>
                <w:noProof/>
              </w:rPr>
              <w:t>1.2.</w:t>
            </w:r>
            <w:r w:rsidR="006A645B">
              <w:rPr>
                <w:rFonts w:asciiTheme="minorHAnsi" w:eastAsiaTheme="minorEastAsia" w:hAnsiTheme="minorHAnsi"/>
                <w:noProof/>
                <w:lang/>
              </w:rPr>
              <w:tab/>
            </w:r>
            <w:r w:rsidR="006A645B" w:rsidRPr="00B66FD0">
              <w:rPr>
                <w:rStyle w:val="Hyperlink"/>
                <w:noProof/>
              </w:rPr>
              <w:t>Project description</w:t>
            </w:r>
            <w:r w:rsidR="006A645B">
              <w:rPr>
                <w:noProof/>
                <w:webHidden/>
              </w:rPr>
              <w:tab/>
            </w:r>
            <w:r w:rsidR="006A645B">
              <w:rPr>
                <w:noProof/>
                <w:webHidden/>
              </w:rPr>
              <w:fldChar w:fldCharType="begin"/>
            </w:r>
            <w:r w:rsidR="006A645B">
              <w:rPr>
                <w:noProof/>
                <w:webHidden/>
              </w:rPr>
              <w:instrText xml:space="preserve"> PAGEREF _Toc98072619 \h </w:instrText>
            </w:r>
            <w:r w:rsidR="006A645B">
              <w:rPr>
                <w:noProof/>
                <w:webHidden/>
              </w:rPr>
            </w:r>
            <w:r w:rsidR="006A645B">
              <w:rPr>
                <w:noProof/>
                <w:webHidden/>
              </w:rPr>
              <w:fldChar w:fldCharType="separate"/>
            </w:r>
            <w:r w:rsidR="006A645B">
              <w:rPr>
                <w:noProof/>
                <w:webHidden/>
              </w:rPr>
              <w:t>1</w:t>
            </w:r>
            <w:r w:rsidR="006A645B">
              <w:rPr>
                <w:noProof/>
                <w:webHidden/>
              </w:rPr>
              <w:fldChar w:fldCharType="end"/>
            </w:r>
          </w:hyperlink>
        </w:p>
        <w:p w14:paraId="6862F12D" w14:textId="7BAFCC82" w:rsidR="006A645B" w:rsidRDefault="00000000">
          <w:pPr>
            <w:pStyle w:val="TOC1"/>
            <w:tabs>
              <w:tab w:val="left" w:pos="440"/>
              <w:tab w:val="right" w:leader="dot" w:pos="9016"/>
            </w:tabs>
            <w:rPr>
              <w:rFonts w:asciiTheme="minorHAnsi" w:eastAsiaTheme="minorEastAsia" w:hAnsiTheme="minorHAnsi"/>
              <w:noProof/>
              <w:lang/>
            </w:rPr>
          </w:pPr>
          <w:hyperlink w:anchor="_Toc98072620" w:history="1">
            <w:r w:rsidR="006A645B" w:rsidRPr="00B66FD0">
              <w:rPr>
                <w:rStyle w:val="Hyperlink"/>
                <w:noProof/>
                <w:color w:val="034990" w:themeColor="hyperlink" w:themeShade="BF"/>
                <w:lang w:bidi="x-none"/>
                <w14:scene3d>
                  <w14:camera w14:prst="orthographicFront"/>
                  <w14:lightRig w14:rig="threePt" w14:dir="t">
                    <w14:rot w14:lat="0" w14:lon="0" w14:rev="0"/>
                  </w14:lightRig>
                </w14:scene3d>
              </w:rPr>
              <w:t>2.</w:t>
            </w:r>
            <w:r w:rsidR="006A645B">
              <w:rPr>
                <w:rFonts w:asciiTheme="minorHAnsi" w:eastAsiaTheme="minorEastAsia" w:hAnsiTheme="minorHAnsi"/>
                <w:noProof/>
                <w:lang/>
              </w:rPr>
              <w:tab/>
            </w:r>
            <w:r w:rsidR="006A645B" w:rsidRPr="00B66FD0">
              <w:rPr>
                <w:rStyle w:val="Hyperlink"/>
                <w:noProof/>
              </w:rPr>
              <w:t>Activities Covered Under Stakeholder Engagement Action Plan</w:t>
            </w:r>
            <w:r w:rsidR="006A645B">
              <w:rPr>
                <w:noProof/>
                <w:webHidden/>
              </w:rPr>
              <w:tab/>
            </w:r>
            <w:r w:rsidR="006A645B">
              <w:rPr>
                <w:noProof/>
                <w:webHidden/>
              </w:rPr>
              <w:fldChar w:fldCharType="begin"/>
            </w:r>
            <w:r w:rsidR="006A645B">
              <w:rPr>
                <w:noProof/>
                <w:webHidden/>
              </w:rPr>
              <w:instrText xml:space="preserve"> PAGEREF _Toc98072620 \h </w:instrText>
            </w:r>
            <w:r w:rsidR="006A645B">
              <w:rPr>
                <w:noProof/>
                <w:webHidden/>
              </w:rPr>
            </w:r>
            <w:r w:rsidR="006A645B">
              <w:rPr>
                <w:noProof/>
                <w:webHidden/>
              </w:rPr>
              <w:fldChar w:fldCharType="separate"/>
            </w:r>
            <w:r w:rsidR="006A645B">
              <w:rPr>
                <w:noProof/>
                <w:webHidden/>
              </w:rPr>
              <w:t>2</w:t>
            </w:r>
            <w:r w:rsidR="006A645B">
              <w:rPr>
                <w:noProof/>
                <w:webHidden/>
              </w:rPr>
              <w:fldChar w:fldCharType="end"/>
            </w:r>
          </w:hyperlink>
        </w:p>
        <w:p w14:paraId="36CB463B" w14:textId="41607045" w:rsidR="006A645B" w:rsidRDefault="00000000">
          <w:pPr>
            <w:pStyle w:val="TOC2"/>
            <w:tabs>
              <w:tab w:val="left" w:pos="880"/>
              <w:tab w:val="right" w:leader="dot" w:pos="9016"/>
            </w:tabs>
            <w:rPr>
              <w:rFonts w:asciiTheme="minorHAnsi" w:eastAsiaTheme="minorEastAsia" w:hAnsiTheme="minorHAnsi"/>
              <w:noProof/>
              <w:lang/>
            </w:rPr>
          </w:pPr>
          <w:hyperlink w:anchor="_Toc98072621" w:history="1">
            <w:r w:rsidR="006A645B" w:rsidRPr="00B66FD0">
              <w:rPr>
                <w:rStyle w:val="Hyperlink"/>
                <w:noProof/>
              </w:rPr>
              <w:t>2.1.</w:t>
            </w:r>
            <w:r w:rsidR="006A645B">
              <w:rPr>
                <w:rFonts w:asciiTheme="minorHAnsi" w:eastAsiaTheme="minorEastAsia" w:hAnsiTheme="minorHAnsi"/>
                <w:noProof/>
                <w:lang/>
              </w:rPr>
              <w:tab/>
            </w:r>
            <w:r w:rsidR="006A645B" w:rsidRPr="00B66FD0">
              <w:rPr>
                <w:rStyle w:val="Hyperlink"/>
                <w:noProof/>
              </w:rPr>
              <w:t>Introduction</w:t>
            </w:r>
            <w:r w:rsidR="006A645B">
              <w:rPr>
                <w:noProof/>
                <w:webHidden/>
              </w:rPr>
              <w:tab/>
            </w:r>
            <w:r w:rsidR="006A645B">
              <w:rPr>
                <w:noProof/>
                <w:webHidden/>
              </w:rPr>
              <w:fldChar w:fldCharType="begin"/>
            </w:r>
            <w:r w:rsidR="006A645B">
              <w:rPr>
                <w:noProof/>
                <w:webHidden/>
              </w:rPr>
              <w:instrText xml:space="preserve"> PAGEREF _Toc98072621 \h </w:instrText>
            </w:r>
            <w:r w:rsidR="006A645B">
              <w:rPr>
                <w:noProof/>
                <w:webHidden/>
              </w:rPr>
            </w:r>
            <w:r w:rsidR="006A645B">
              <w:rPr>
                <w:noProof/>
                <w:webHidden/>
              </w:rPr>
              <w:fldChar w:fldCharType="separate"/>
            </w:r>
            <w:r w:rsidR="006A645B">
              <w:rPr>
                <w:noProof/>
                <w:webHidden/>
              </w:rPr>
              <w:t>2</w:t>
            </w:r>
            <w:r w:rsidR="006A645B">
              <w:rPr>
                <w:noProof/>
                <w:webHidden/>
              </w:rPr>
              <w:fldChar w:fldCharType="end"/>
            </w:r>
          </w:hyperlink>
        </w:p>
        <w:p w14:paraId="2F521B14" w14:textId="5CD2F72E" w:rsidR="006A645B" w:rsidRDefault="00000000">
          <w:pPr>
            <w:pStyle w:val="TOC2"/>
            <w:tabs>
              <w:tab w:val="left" w:pos="880"/>
              <w:tab w:val="right" w:leader="dot" w:pos="9016"/>
            </w:tabs>
            <w:rPr>
              <w:rFonts w:asciiTheme="minorHAnsi" w:eastAsiaTheme="minorEastAsia" w:hAnsiTheme="minorHAnsi"/>
              <w:noProof/>
              <w:lang/>
            </w:rPr>
          </w:pPr>
          <w:hyperlink w:anchor="_Toc98072622" w:history="1">
            <w:r w:rsidR="006A645B" w:rsidRPr="00B66FD0">
              <w:rPr>
                <w:rStyle w:val="Hyperlink"/>
                <w:noProof/>
              </w:rPr>
              <w:t>2.2.</w:t>
            </w:r>
            <w:r w:rsidR="006A645B">
              <w:rPr>
                <w:rFonts w:asciiTheme="minorHAnsi" w:eastAsiaTheme="minorEastAsia" w:hAnsiTheme="minorHAnsi"/>
                <w:noProof/>
                <w:lang/>
              </w:rPr>
              <w:tab/>
            </w:r>
            <w:r w:rsidR="006A645B" w:rsidRPr="00B66FD0">
              <w:rPr>
                <w:rStyle w:val="Hyperlink"/>
                <w:noProof/>
              </w:rPr>
              <w:t>MIMIP Workplan 202</w:t>
            </w:r>
            <w:r w:rsidR="00C06502">
              <w:rPr>
                <w:rStyle w:val="Hyperlink"/>
                <w:noProof/>
              </w:rPr>
              <w:t>2</w:t>
            </w:r>
            <w:r w:rsidR="006A645B" w:rsidRPr="00B66FD0">
              <w:rPr>
                <w:rStyle w:val="Hyperlink"/>
                <w:noProof/>
              </w:rPr>
              <w:t xml:space="preserve"> - 202</w:t>
            </w:r>
            <w:r w:rsidR="00C06502">
              <w:rPr>
                <w:rStyle w:val="Hyperlink"/>
                <w:noProof/>
              </w:rPr>
              <w:t>3</w:t>
            </w:r>
            <w:r w:rsidR="006A645B">
              <w:rPr>
                <w:noProof/>
                <w:webHidden/>
              </w:rPr>
              <w:tab/>
            </w:r>
            <w:r w:rsidR="006A645B">
              <w:rPr>
                <w:noProof/>
                <w:webHidden/>
              </w:rPr>
              <w:fldChar w:fldCharType="begin"/>
            </w:r>
            <w:r w:rsidR="006A645B">
              <w:rPr>
                <w:noProof/>
                <w:webHidden/>
              </w:rPr>
              <w:instrText xml:space="preserve"> PAGEREF _Toc98072622 \h </w:instrText>
            </w:r>
            <w:r w:rsidR="006A645B">
              <w:rPr>
                <w:noProof/>
                <w:webHidden/>
              </w:rPr>
            </w:r>
            <w:r w:rsidR="006A645B">
              <w:rPr>
                <w:noProof/>
                <w:webHidden/>
              </w:rPr>
              <w:fldChar w:fldCharType="separate"/>
            </w:r>
            <w:r w:rsidR="006A645B">
              <w:rPr>
                <w:noProof/>
                <w:webHidden/>
              </w:rPr>
              <w:t>2</w:t>
            </w:r>
            <w:r w:rsidR="006A645B">
              <w:rPr>
                <w:noProof/>
                <w:webHidden/>
              </w:rPr>
              <w:fldChar w:fldCharType="end"/>
            </w:r>
          </w:hyperlink>
        </w:p>
        <w:p w14:paraId="7BE59957" w14:textId="4D39E214" w:rsidR="006A645B" w:rsidRDefault="00000000">
          <w:pPr>
            <w:pStyle w:val="TOC1"/>
            <w:tabs>
              <w:tab w:val="left" w:pos="440"/>
              <w:tab w:val="right" w:leader="dot" w:pos="9016"/>
            </w:tabs>
            <w:rPr>
              <w:rFonts w:asciiTheme="minorHAnsi" w:eastAsiaTheme="minorEastAsia" w:hAnsiTheme="minorHAnsi"/>
              <w:noProof/>
              <w:lang/>
            </w:rPr>
          </w:pPr>
          <w:hyperlink w:anchor="_Toc98072623" w:history="1">
            <w:r w:rsidR="006A645B" w:rsidRPr="00B66FD0">
              <w:rPr>
                <w:rStyle w:val="Hyperlink"/>
                <w:noProof/>
                <w:color w:val="034990" w:themeColor="hyperlink" w:themeShade="BF"/>
                <w:lang w:bidi="x-none"/>
                <w14:scene3d>
                  <w14:camera w14:prst="orthographicFront"/>
                  <w14:lightRig w14:rig="threePt" w14:dir="t">
                    <w14:rot w14:lat="0" w14:lon="0" w14:rev="0"/>
                  </w14:lightRig>
                </w14:scene3d>
              </w:rPr>
              <w:t>3.</w:t>
            </w:r>
            <w:r w:rsidR="006A645B">
              <w:rPr>
                <w:rFonts w:asciiTheme="minorHAnsi" w:eastAsiaTheme="minorEastAsia" w:hAnsiTheme="minorHAnsi"/>
                <w:noProof/>
                <w:lang/>
              </w:rPr>
              <w:tab/>
            </w:r>
            <w:r w:rsidR="006A645B" w:rsidRPr="00B66FD0">
              <w:rPr>
                <w:rStyle w:val="Hyperlink"/>
                <w:noProof/>
              </w:rPr>
              <w:t>Implementation of Stakeholder Engagement Action Plan</w:t>
            </w:r>
            <w:r w:rsidR="006A645B">
              <w:rPr>
                <w:noProof/>
                <w:webHidden/>
              </w:rPr>
              <w:tab/>
            </w:r>
            <w:r w:rsidR="006A645B">
              <w:rPr>
                <w:noProof/>
                <w:webHidden/>
              </w:rPr>
              <w:fldChar w:fldCharType="begin"/>
            </w:r>
            <w:r w:rsidR="006A645B">
              <w:rPr>
                <w:noProof/>
                <w:webHidden/>
              </w:rPr>
              <w:instrText xml:space="preserve"> PAGEREF _Toc98072623 \h </w:instrText>
            </w:r>
            <w:r w:rsidR="006A645B">
              <w:rPr>
                <w:noProof/>
                <w:webHidden/>
              </w:rPr>
            </w:r>
            <w:r w:rsidR="006A645B">
              <w:rPr>
                <w:noProof/>
                <w:webHidden/>
              </w:rPr>
              <w:fldChar w:fldCharType="separate"/>
            </w:r>
            <w:r w:rsidR="006A645B">
              <w:rPr>
                <w:noProof/>
                <w:webHidden/>
              </w:rPr>
              <w:t>3</w:t>
            </w:r>
            <w:r w:rsidR="006A645B">
              <w:rPr>
                <w:noProof/>
                <w:webHidden/>
              </w:rPr>
              <w:fldChar w:fldCharType="end"/>
            </w:r>
          </w:hyperlink>
        </w:p>
        <w:p w14:paraId="32389EF5" w14:textId="678FC264" w:rsidR="006A645B" w:rsidRDefault="00000000">
          <w:pPr>
            <w:pStyle w:val="TOC2"/>
            <w:tabs>
              <w:tab w:val="left" w:pos="880"/>
              <w:tab w:val="right" w:leader="dot" w:pos="9016"/>
            </w:tabs>
            <w:rPr>
              <w:rFonts w:asciiTheme="minorHAnsi" w:eastAsiaTheme="minorEastAsia" w:hAnsiTheme="minorHAnsi"/>
              <w:noProof/>
              <w:lang/>
            </w:rPr>
          </w:pPr>
          <w:hyperlink w:anchor="_Toc98072624" w:history="1">
            <w:r w:rsidR="006A645B" w:rsidRPr="00B66FD0">
              <w:rPr>
                <w:rStyle w:val="Hyperlink"/>
                <w:noProof/>
              </w:rPr>
              <w:t>3.1.</w:t>
            </w:r>
            <w:r w:rsidR="006A645B">
              <w:rPr>
                <w:rFonts w:asciiTheme="minorHAnsi" w:eastAsiaTheme="minorEastAsia" w:hAnsiTheme="minorHAnsi"/>
                <w:noProof/>
                <w:lang/>
              </w:rPr>
              <w:tab/>
            </w:r>
            <w:r w:rsidR="006A645B" w:rsidRPr="00B66FD0">
              <w:rPr>
                <w:rStyle w:val="Hyperlink"/>
                <w:noProof/>
              </w:rPr>
              <w:t>Roles and responsibilities</w:t>
            </w:r>
            <w:r w:rsidR="006A645B">
              <w:rPr>
                <w:noProof/>
                <w:webHidden/>
              </w:rPr>
              <w:tab/>
            </w:r>
            <w:r w:rsidR="006A645B">
              <w:rPr>
                <w:noProof/>
                <w:webHidden/>
              </w:rPr>
              <w:fldChar w:fldCharType="begin"/>
            </w:r>
            <w:r w:rsidR="006A645B">
              <w:rPr>
                <w:noProof/>
                <w:webHidden/>
              </w:rPr>
              <w:instrText xml:space="preserve"> PAGEREF _Toc98072624 \h </w:instrText>
            </w:r>
            <w:r w:rsidR="006A645B">
              <w:rPr>
                <w:noProof/>
                <w:webHidden/>
              </w:rPr>
            </w:r>
            <w:r w:rsidR="006A645B">
              <w:rPr>
                <w:noProof/>
                <w:webHidden/>
              </w:rPr>
              <w:fldChar w:fldCharType="separate"/>
            </w:r>
            <w:r w:rsidR="006A645B">
              <w:rPr>
                <w:noProof/>
                <w:webHidden/>
              </w:rPr>
              <w:t>3</w:t>
            </w:r>
            <w:r w:rsidR="006A645B">
              <w:rPr>
                <w:noProof/>
                <w:webHidden/>
              </w:rPr>
              <w:fldChar w:fldCharType="end"/>
            </w:r>
          </w:hyperlink>
        </w:p>
        <w:p w14:paraId="4136FCB0" w14:textId="60664189" w:rsidR="006A645B" w:rsidRDefault="00000000">
          <w:pPr>
            <w:pStyle w:val="TOC2"/>
            <w:tabs>
              <w:tab w:val="left" w:pos="880"/>
              <w:tab w:val="right" w:leader="dot" w:pos="9016"/>
            </w:tabs>
            <w:rPr>
              <w:rFonts w:asciiTheme="minorHAnsi" w:eastAsiaTheme="minorEastAsia" w:hAnsiTheme="minorHAnsi"/>
              <w:noProof/>
              <w:lang/>
            </w:rPr>
          </w:pPr>
          <w:hyperlink w:anchor="_Toc98072625" w:history="1">
            <w:r w:rsidR="006A645B" w:rsidRPr="00B66FD0">
              <w:rPr>
                <w:rStyle w:val="Hyperlink"/>
                <w:noProof/>
              </w:rPr>
              <w:t>3.2.</w:t>
            </w:r>
            <w:r w:rsidR="006A645B">
              <w:rPr>
                <w:rFonts w:asciiTheme="minorHAnsi" w:eastAsiaTheme="minorEastAsia" w:hAnsiTheme="minorHAnsi"/>
                <w:noProof/>
                <w:lang/>
              </w:rPr>
              <w:tab/>
            </w:r>
            <w:r w:rsidR="006A645B" w:rsidRPr="00B66FD0">
              <w:rPr>
                <w:rStyle w:val="Hyperlink"/>
                <w:noProof/>
              </w:rPr>
              <w:t>Monitoring and Reporting</w:t>
            </w:r>
            <w:r w:rsidR="006A645B">
              <w:rPr>
                <w:noProof/>
                <w:webHidden/>
              </w:rPr>
              <w:tab/>
            </w:r>
            <w:r w:rsidR="006A645B">
              <w:rPr>
                <w:noProof/>
                <w:webHidden/>
              </w:rPr>
              <w:fldChar w:fldCharType="begin"/>
            </w:r>
            <w:r w:rsidR="006A645B">
              <w:rPr>
                <w:noProof/>
                <w:webHidden/>
              </w:rPr>
              <w:instrText xml:space="preserve"> PAGEREF _Toc98072625 \h </w:instrText>
            </w:r>
            <w:r w:rsidR="006A645B">
              <w:rPr>
                <w:noProof/>
                <w:webHidden/>
              </w:rPr>
            </w:r>
            <w:r w:rsidR="006A645B">
              <w:rPr>
                <w:noProof/>
                <w:webHidden/>
              </w:rPr>
              <w:fldChar w:fldCharType="separate"/>
            </w:r>
            <w:r w:rsidR="006A645B">
              <w:rPr>
                <w:noProof/>
                <w:webHidden/>
              </w:rPr>
              <w:t>3</w:t>
            </w:r>
            <w:r w:rsidR="006A645B">
              <w:rPr>
                <w:noProof/>
                <w:webHidden/>
              </w:rPr>
              <w:fldChar w:fldCharType="end"/>
            </w:r>
          </w:hyperlink>
        </w:p>
        <w:p w14:paraId="7588C40D" w14:textId="2C5B0C8D" w:rsidR="006A645B" w:rsidRDefault="00000000">
          <w:pPr>
            <w:pStyle w:val="TOC2"/>
            <w:tabs>
              <w:tab w:val="left" w:pos="880"/>
              <w:tab w:val="right" w:leader="dot" w:pos="9016"/>
            </w:tabs>
            <w:rPr>
              <w:rFonts w:asciiTheme="minorHAnsi" w:eastAsiaTheme="minorEastAsia" w:hAnsiTheme="minorHAnsi"/>
              <w:noProof/>
              <w:lang/>
            </w:rPr>
          </w:pPr>
          <w:hyperlink w:anchor="_Toc98072626" w:history="1">
            <w:r w:rsidR="006A645B" w:rsidRPr="00B66FD0">
              <w:rPr>
                <w:rStyle w:val="Hyperlink"/>
                <w:noProof/>
              </w:rPr>
              <w:t>3.3.</w:t>
            </w:r>
            <w:r w:rsidR="006A645B">
              <w:rPr>
                <w:rFonts w:asciiTheme="minorHAnsi" w:eastAsiaTheme="minorEastAsia" w:hAnsiTheme="minorHAnsi"/>
                <w:noProof/>
                <w:lang/>
              </w:rPr>
              <w:tab/>
            </w:r>
            <w:r w:rsidR="006A645B" w:rsidRPr="00B66FD0">
              <w:rPr>
                <w:rStyle w:val="Hyperlink"/>
                <w:noProof/>
              </w:rPr>
              <w:t>Review</w:t>
            </w:r>
            <w:r w:rsidR="006A645B">
              <w:rPr>
                <w:noProof/>
                <w:webHidden/>
              </w:rPr>
              <w:tab/>
            </w:r>
            <w:r w:rsidR="006A645B">
              <w:rPr>
                <w:noProof/>
                <w:webHidden/>
              </w:rPr>
              <w:fldChar w:fldCharType="begin"/>
            </w:r>
            <w:r w:rsidR="006A645B">
              <w:rPr>
                <w:noProof/>
                <w:webHidden/>
              </w:rPr>
              <w:instrText xml:space="preserve"> PAGEREF _Toc98072626 \h </w:instrText>
            </w:r>
            <w:r w:rsidR="006A645B">
              <w:rPr>
                <w:noProof/>
                <w:webHidden/>
              </w:rPr>
            </w:r>
            <w:r w:rsidR="006A645B">
              <w:rPr>
                <w:noProof/>
                <w:webHidden/>
              </w:rPr>
              <w:fldChar w:fldCharType="separate"/>
            </w:r>
            <w:r w:rsidR="006A645B">
              <w:rPr>
                <w:noProof/>
                <w:webHidden/>
              </w:rPr>
              <w:t>3</w:t>
            </w:r>
            <w:r w:rsidR="006A645B">
              <w:rPr>
                <w:noProof/>
                <w:webHidden/>
              </w:rPr>
              <w:fldChar w:fldCharType="end"/>
            </w:r>
          </w:hyperlink>
        </w:p>
        <w:p w14:paraId="1AD617F1" w14:textId="6120B22A" w:rsidR="006A645B" w:rsidRDefault="00000000">
          <w:pPr>
            <w:pStyle w:val="TOC2"/>
            <w:tabs>
              <w:tab w:val="left" w:pos="880"/>
              <w:tab w:val="right" w:leader="dot" w:pos="9016"/>
            </w:tabs>
            <w:rPr>
              <w:rFonts w:asciiTheme="minorHAnsi" w:eastAsiaTheme="minorEastAsia" w:hAnsiTheme="minorHAnsi"/>
              <w:noProof/>
              <w:lang/>
            </w:rPr>
          </w:pPr>
          <w:hyperlink w:anchor="_Toc98072627" w:history="1">
            <w:r w:rsidR="006A645B" w:rsidRPr="00B66FD0">
              <w:rPr>
                <w:rStyle w:val="Hyperlink"/>
                <w:noProof/>
              </w:rPr>
              <w:t>3.4.</w:t>
            </w:r>
            <w:r w:rsidR="006A645B">
              <w:rPr>
                <w:rFonts w:asciiTheme="minorHAnsi" w:eastAsiaTheme="minorEastAsia" w:hAnsiTheme="minorHAnsi"/>
                <w:noProof/>
                <w:lang/>
              </w:rPr>
              <w:tab/>
            </w:r>
            <w:r w:rsidR="006A645B" w:rsidRPr="00B66FD0">
              <w:rPr>
                <w:rStyle w:val="Hyperlink"/>
                <w:noProof/>
              </w:rPr>
              <w:t>Stakeholder Groups</w:t>
            </w:r>
            <w:r w:rsidR="006A645B">
              <w:rPr>
                <w:noProof/>
                <w:webHidden/>
              </w:rPr>
              <w:tab/>
            </w:r>
            <w:r w:rsidR="006A645B">
              <w:rPr>
                <w:noProof/>
                <w:webHidden/>
              </w:rPr>
              <w:fldChar w:fldCharType="begin"/>
            </w:r>
            <w:r w:rsidR="006A645B">
              <w:rPr>
                <w:noProof/>
                <w:webHidden/>
              </w:rPr>
              <w:instrText xml:space="preserve"> PAGEREF _Toc98072627 \h </w:instrText>
            </w:r>
            <w:r w:rsidR="006A645B">
              <w:rPr>
                <w:noProof/>
                <w:webHidden/>
              </w:rPr>
            </w:r>
            <w:r w:rsidR="006A645B">
              <w:rPr>
                <w:noProof/>
                <w:webHidden/>
              </w:rPr>
              <w:fldChar w:fldCharType="separate"/>
            </w:r>
            <w:r w:rsidR="006A645B">
              <w:rPr>
                <w:noProof/>
                <w:webHidden/>
              </w:rPr>
              <w:t>3</w:t>
            </w:r>
            <w:r w:rsidR="006A645B">
              <w:rPr>
                <w:noProof/>
                <w:webHidden/>
              </w:rPr>
              <w:fldChar w:fldCharType="end"/>
            </w:r>
          </w:hyperlink>
        </w:p>
        <w:p w14:paraId="22613DB6" w14:textId="56C43496" w:rsidR="006A645B" w:rsidRDefault="00000000">
          <w:pPr>
            <w:pStyle w:val="TOC3"/>
            <w:tabs>
              <w:tab w:val="left" w:pos="1320"/>
              <w:tab w:val="right" w:leader="dot" w:pos="9016"/>
            </w:tabs>
            <w:rPr>
              <w:rFonts w:asciiTheme="minorHAnsi" w:eastAsiaTheme="minorEastAsia" w:hAnsiTheme="minorHAnsi"/>
              <w:noProof/>
              <w:lang/>
            </w:rPr>
          </w:pPr>
          <w:hyperlink w:anchor="_Toc98072628" w:history="1">
            <w:r w:rsidR="006A645B" w:rsidRPr="00B66FD0">
              <w:rPr>
                <w:rStyle w:val="Hyperlink"/>
                <w:noProof/>
              </w:rPr>
              <w:t>3.4.1.</w:t>
            </w:r>
            <w:r w:rsidR="006A645B">
              <w:rPr>
                <w:rFonts w:asciiTheme="minorHAnsi" w:eastAsiaTheme="minorEastAsia" w:hAnsiTheme="minorHAnsi"/>
                <w:noProof/>
                <w:lang/>
              </w:rPr>
              <w:tab/>
            </w:r>
            <w:r w:rsidR="006A645B" w:rsidRPr="00B66FD0">
              <w:rPr>
                <w:rStyle w:val="Hyperlink"/>
                <w:noProof/>
              </w:rPr>
              <w:t>Representatives of vulnerable and disadvantaged groups</w:t>
            </w:r>
            <w:r w:rsidR="006A645B">
              <w:rPr>
                <w:noProof/>
                <w:webHidden/>
              </w:rPr>
              <w:tab/>
            </w:r>
            <w:r w:rsidR="006A645B">
              <w:rPr>
                <w:noProof/>
                <w:webHidden/>
              </w:rPr>
              <w:fldChar w:fldCharType="begin"/>
            </w:r>
            <w:r w:rsidR="006A645B">
              <w:rPr>
                <w:noProof/>
                <w:webHidden/>
              </w:rPr>
              <w:instrText xml:space="preserve"> PAGEREF _Toc98072628 \h </w:instrText>
            </w:r>
            <w:r w:rsidR="006A645B">
              <w:rPr>
                <w:noProof/>
                <w:webHidden/>
              </w:rPr>
            </w:r>
            <w:r w:rsidR="006A645B">
              <w:rPr>
                <w:noProof/>
                <w:webHidden/>
              </w:rPr>
              <w:fldChar w:fldCharType="separate"/>
            </w:r>
            <w:r w:rsidR="006A645B">
              <w:rPr>
                <w:noProof/>
                <w:webHidden/>
              </w:rPr>
              <w:t>6</w:t>
            </w:r>
            <w:r w:rsidR="006A645B">
              <w:rPr>
                <w:noProof/>
                <w:webHidden/>
              </w:rPr>
              <w:fldChar w:fldCharType="end"/>
            </w:r>
          </w:hyperlink>
        </w:p>
        <w:p w14:paraId="07893BB3" w14:textId="59006BAC" w:rsidR="006A645B" w:rsidRDefault="00000000">
          <w:pPr>
            <w:pStyle w:val="TOC3"/>
            <w:tabs>
              <w:tab w:val="left" w:pos="1320"/>
              <w:tab w:val="right" w:leader="dot" w:pos="9016"/>
            </w:tabs>
            <w:rPr>
              <w:rFonts w:asciiTheme="minorHAnsi" w:eastAsiaTheme="minorEastAsia" w:hAnsiTheme="minorHAnsi"/>
              <w:noProof/>
              <w:lang/>
            </w:rPr>
          </w:pPr>
          <w:hyperlink w:anchor="_Toc98072629" w:history="1">
            <w:r w:rsidR="006A645B" w:rsidRPr="00B66FD0">
              <w:rPr>
                <w:rStyle w:val="Hyperlink"/>
                <w:noProof/>
              </w:rPr>
              <w:t>3.4.2.</w:t>
            </w:r>
            <w:r w:rsidR="006A645B">
              <w:rPr>
                <w:rFonts w:asciiTheme="minorHAnsi" w:eastAsiaTheme="minorEastAsia" w:hAnsiTheme="minorHAnsi"/>
                <w:noProof/>
                <w:lang/>
              </w:rPr>
              <w:tab/>
            </w:r>
            <w:r w:rsidR="006A645B" w:rsidRPr="00B66FD0">
              <w:rPr>
                <w:rStyle w:val="Hyperlink"/>
                <w:noProof/>
              </w:rPr>
              <w:t>MIMIP Project Beneficiaries</w:t>
            </w:r>
            <w:r w:rsidR="006A645B">
              <w:rPr>
                <w:noProof/>
                <w:webHidden/>
              </w:rPr>
              <w:tab/>
            </w:r>
            <w:r w:rsidR="006A645B">
              <w:rPr>
                <w:noProof/>
                <w:webHidden/>
              </w:rPr>
              <w:fldChar w:fldCharType="begin"/>
            </w:r>
            <w:r w:rsidR="006A645B">
              <w:rPr>
                <w:noProof/>
                <w:webHidden/>
              </w:rPr>
              <w:instrText xml:space="preserve"> PAGEREF _Toc98072629 \h </w:instrText>
            </w:r>
            <w:r w:rsidR="006A645B">
              <w:rPr>
                <w:noProof/>
                <w:webHidden/>
              </w:rPr>
            </w:r>
            <w:r w:rsidR="006A645B">
              <w:rPr>
                <w:noProof/>
                <w:webHidden/>
              </w:rPr>
              <w:fldChar w:fldCharType="separate"/>
            </w:r>
            <w:r w:rsidR="006A645B">
              <w:rPr>
                <w:noProof/>
                <w:webHidden/>
              </w:rPr>
              <w:t>6</w:t>
            </w:r>
            <w:r w:rsidR="006A645B">
              <w:rPr>
                <w:noProof/>
                <w:webHidden/>
              </w:rPr>
              <w:fldChar w:fldCharType="end"/>
            </w:r>
          </w:hyperlink>
        </w:p>
        <w:p w14:paraId="36C3E791" w14:textId="6000F315" w:rsidR="006A645B" w:rsidRDefault="00000000">
          <w:pPr>
            <w:pStyle w:val="TOC1"/>
            <w:tabs>
              <w:tab w:val="right" w:leader="dot" w:pos="9016"/>
            </w:tabs>
            <w:rPr>
              <w:rFonts w:asciiTheme="minorHAnsi" w:eastAsiaTheme="minorEastAsia" w:hAnsiTheme="minorHAnsi"/>
              <w:noProof/>
              <w:lang/>
            </w:rPr>
          </w:pPr>
          <w:hyperlink w:anchor="_Toc98072630" w:history="1">
            <w:r w:rsidR="006A645B" w:rsidRPr="00B66FD0">
              <w:rPr>
                <w:rStyle w:val="Hyperlink"/>
                <w:noProof/>
              </w:rPr>
              <w:t>Annex A. Stakeholder Engagement Action Plan</w:t>
            </w:r>
            <w:r w:rsidR="006A645B">
              <w:rPr>
                <w:noProof/>
                <w:webHidden/>
              </w:rPr>
              <w:tab/>
            </w:r>
            <w:r w:rsidR="006A645B">
              <w:rPr>
                <w:noProof/>
                <w:webHidden/>
              </w:rPr>
              <w:fldChar w:fldCharType="begin"/>
            </w:r>
            <w:r w:rsidR="006A645B">
              <w:rPr>
                <w:noProof/>
                <w:webHidden/>
              </w:rPr>
              <w:instrText xml:space="preserve"> PAGEREF _Toc98072630 \h </w:instrText>
            </w:r>
            <w:r w:rsidR="006A645B">
              <w:rPr>
                <w:noProof/>
                <w:webHidden/>
              </w:rPr>
            </w:r>
            <w:r w:rsidR="006A645B">
              <w:rPr>
                <w:noProof/>
                <w:webHidden/>
              </w:rPr>
              <w:fldChar w:fldCharType="separate"/>
            </w:r>
            <w:r w:rsidR="006A645B">
              <w:rPr>
                <w:noProof/>
                <w:webHidden/>
              </w:rPr>
              <w:t>7</w:t>
            </w:r>
            <w:r w:rsidR="006A645B">
              <w:rPr>
                <w:noProof/>
                <w:webHidden/>
              </w:rPr>
              <w:fldChar w:fldCharType="end"/>
            </w:r>
          </w:hyperlink>
        </w:p>
        <w:p w14:paraId="26C195AD" w14:textId="14977F98" w:rsidR="003E738D" w:rsidRPr="005F5C71" w:rsidRDefault="004B6F45" w:rsidP="003E738D">
          <w:pPr>
            <w:spacing w:after="100"/>
            <w:rPr>
              <w:lang w:val="en-US"/>
            </w:rPr>
          </w:pPr>
          <w:r w:rsidRPr="005F5C71">
            <w:rPr>
              <w:b/>
              <w:bCs/>
              <w:lang w:val="en-US"/>
            </w:rPr>
            <w:fldChar w:fldCharType="end"/>
          </w:r>
        </w:p>
        <w:p w14:paraId="6B97D4CD" w14:textId="77777777" w:rsidR="00F66BC1" w:rsidRPr="005F5C71" w:rsidRDefault="00000000" w:rsidP="00EC0959">
          <w:pPr>
            <w:rPr>
              <w:lang w:val="en-US"/>
            </w:rPr>
          </w:pPr>
        </w:p>
      </w:sdtContent>
    </w:sdt>
    <w:p w14:paraId="3DDEC892" w14:textId="77777777" w:rsidR="00EC6474" w:rsidRDefault="00EC6474" w:rsidP="00EC0959">
      <w:pPr>
        <w:rPr>
          <w:lang w:val="en-US"/>
        </w:rPr>
        <w:sectPr w:rsidR="00EC6474" w:rsidSect="00961256">
          <w:headerReference w:type="default" r:id="rId8"/>
          <w:footerReference w:type="default" r:id="rId9"/>
          <w:pgSz w:w="11906" w:h="16838" w:code="9"/>
          <w:pgMar w:top="1440" w:right="1440" w:bottom="1440" w:left="1440" w:header="709" w:footer="709" w:gutter="0"/>
          <w:pgNumType w:start="1"/>
          <w:cols w:space="708"/>
          <w:titlePg/>
          <w:docGrid w:linePitch="360"/>
        </w:sectPr>
      </w:pPr>
    </w:p>
    <w:p w14:paraId="352629C4" w14:textId="77777777" w:rsidR="0033022C" w:rsidRPr="00D71151" w:rsidRDefault="0033022C" w:rsidP="00D71151">
      <w:pPr>
        <w:pStyle w:val="Heading1"/>
      </w:pPr>
      <w:bookmarkStart w:id="0" w:name="_Toc533615231"/>
      <w:bookmarkStart w:id="1" w:name="_Toc98072617"/>
      <w:r w:rsidRPr="00D71151">
        <w:lastRenderedPageBreak/>
        <w:t>Introduction</w:t>
      </w:r>
      <w:bookmarkEnd w:id="0"/>
      <w:bookmarkEnd w:id="1"/>
      <w:r w:rsidRPr="00D71151">
        <w:t xml:space="preserve"> </w:t>
      </w:r>
    </w:p>
    <w:p w14:paraId="141D0EAF" w14:textId="053C5179" w:rsidR="0033022C" w:rsidRPr="00D71151" w:rsidRDefault="0033022C" w:rsidP="00D71151">
      <w:pPr>
        <w:pStyle w:val="Heading2"/>
      </w:pPr>
      <w:bookmarkStart w:id="2" w:name="_Toc533615232"/>
      <w:r w:rsidRPr="00D71151">
        <w:tab/>
      </w:r>
      <w:bookmarkStart w:id="3" w:name="_Toc98072618"/>
      <w:r w:rsidRPr="00D71151">
        <w:t>Background and context</w:t>
      </w:r>
      <w:bookmarkEnd w:id="2"/>
      <w:bookmarkEnd w:id="3"/>
    </w:p>
    <w:p w14:paraId="1D2C3040" w14:textId="5F545B54" w:rsidR="006A4EB9" w:rsidRPr="00D71151" w:rsidRDefault="003C4867" w:rsidP="00961256">
      <w:pPr>
        <w:ind w:right="-589"/>
        <w:rPr>
          <w:rFonts w:ascii="Arial" w:eastAsia="Calibri" w:hAnsi="Arial" w:cs="Arial"/>
          <w:sz w:val="20"/>
          <w:szCs w:val="20"/>
          <w:lang w:val="en-US"/>
        </w:rPr>
      </w:pPr>
      <w:r w:rsidRPr="00D71151">
        <w:rPr>
          <w:rFonts w:ascii="Arial" w:eastAsia="Calibri" w:hAnsi="Arial" w:cs="Arial"/>
          <w:sz w:val="20"/>
          <w:szCs w:val="20"/>
          <w:lang w:val="en-US"/>
        </w:rPr>
        <w:t xml:space="preserve">The </w:t>
      </w:r>
      <w:r w:rsidR="00032FCB" w:rsidRPr="00D71151">
        <w:rPr>
          <w:rFonts w:ascii="Arial" w:eastAsia="Calibri" w:hAnsi="Arial" w:cs="Arial"/>
          <w:sz w:val="20"/>
          <w:szCs w:val="20"/>
          <w:lang w:val="en-US"/>
        </w:rPr>
        <w:t xml:space="preserve">Marshall Islands Maritime Investment Project (MIMIP) </w:t>
      </w:r>
      <w:r w:rsidR="00A437D7" w:rsidRPr="00D71151">
        <w:rPr>
          <w:rFonts w:ascii="Arial" w:eastAsia="Calibri" w:hAnsi="Arial" w:cs="Arial"/>
          <w:sz w:val="20"/>
          <w:szCs w:val="20"/>
          <w:lang w:val="en-US"/>
        </w:rPr>
        <w:t>Stakeholder Engagement Plan (SEP)</w:t>
      </w:r>
      <w:r w:rsidR="007D053B" w:rsidRPr="00D71151">
        <w:rPr>
          <w:rStyle w:val="FootnoteReference"/>
          <w:rFonts w:ascii="Arial" w:eastAsia="Calibri" w:hAnsi="Arial" w:cs="Arial"/>
          <w:sz w:val="20"/>
          <w:szCs w:val="20"/>
          <w:lang w:val="en-US"/>
        </w:rPr>
        <w:footnoteReference w:id="1"/>
      </w:r>
      <w:r w:rsidR="00A437D7" w:rsidRPr="00D71151">
        <w:rPr>
          <w:rFonts w:ascii="Arial" w:eastAsia="Calibri" w:hAnsi="Arial" w:cs="Arial"/>
          <w:sz w:val="20"/>
          <w:szCs w:val="20"/>
          <w:lang w:val="en-US"/>
        </w:rPr>
        <w:t xml:space="preserve"> </w:t>
      </w:r>
      <w:r w:rsidR="00E4436D" w:rsidRPr="00D71151">
        <w:rPr>
          <w:rFonts w:ascii="Arial" w:eastAsia="Calibri" w:hAnsi="Arial" w:cs="Arial"/>
          <w:sz w:val="20"/>
          <w:szCs w:val="20"/>
          <w:lang w:val="en-US"/>
        </w:rPr>
        <w:t>was developed</w:t>
      </w:r>
      <w:r w:rsidRPr="00D71151">
        <w:rPr>
          <w:rFonts w:ascii="Arial" w:eastAsia="Calibri" w:hAnsi="Arial" w:cs="Arial"/>
          <w:sz w:val="20"/>
          <w:szCs w:val="20"/>
          <w:lang w:val="en-US"/>
        </w:rPr>
        <w:t xml:space="preserve"> to assist the Ministry of Transport and Communications (</w:t>
      </w:r>
      <w:r w:rsidR="0093512F" w:rsidRPr="00D71151">
        <w:rPr>
          <w:rFonts w:ascii="Arial" w:eastAsia="Calibri" w:hAnsi="Arial" w:cs="Arial"/>
          <w:sz w:val="20"/>
          <w:szCs w:val="20"/>
          <w:lang w:val="en-US"/>
        </w:rPr>
        <w:t>MoT&amp;C</w:t>
      </w:r>
      <w:r w:rsidRPr="00D71151">
        <w:rPr>
          <w:rFonts w:ascii="Arial" w:eastAsia="Calibri" w:hAnsi="Arial" w:cs="Arial"/>
          <w:sz w:val="20"/>
          <w:szCs w:val="20"/>
          <w:lang w:val="en-US"/>
        </w:rPr>
        <w:t xml:space="preserve">) </w:t>
      </w:r>
      <w:r w:rsidR="00E4436D" w:rsidRPr="00D71151">
        <w:rPr>
          <w:rFonts w:ascii="Arial" w:eastAsia="Calibri" w:hAnsi="Arial" w:cs="Arial"/>
          <w:sz w:val="20"/>
          <w:szCs w:val="20"/>
          <w:lang w:val="en-US"/>
        </w:rPr>
        <w:t>and Port</w:t>
      </w:r>
      <w:r w:rsidR="0093512F" w:rsidRPr="00D71151">
        <w:rPr>
          <w:rFonts w:ascii="Arial" w:eastAsia="Calibri" w:hAnsi="Arial" w:cs="Arial"/>
          <w:sz w:val="20"/>
          <w:szCs w:val="20"/>
          <w:lang w:val="en-US"/>
        </w:rPr>
        <w:t>s</w:t>
      </w:r>
      <w:r w:rsidR="00E4436D" w:rsidRPr="00D71151">
        <w:rPr>
          <w:rFonts w:ascii="Arial" w:eastAsia="Calibri" w:hAnsi="Arial" w:cs="Arial"/>
          <w:sz w:val="20"/>
          <w:szCs w:val="20"/>
          <w:lang w:val="en-US"/>
        </w:rPr>
        <w:t xml:space="preserve"> Authorit</w:t>
      </w:r>
      <w:r w:rsidR="0093512F" w:rsidRPr="00D71151">
        <w:rPr>
          <w:rFonts w:ascii="Arial" w:eastAsia="Calibri" w:hAnsi="Arial" w:cs="Arial"/>
          <w:sz w:val="20"/>
          <w:szCs w:val="20"/>
          <w:lang w:val="en-US"/>
        </w:rPr>
        <w:t>y</w:t>
      </w:r>
      <w:r w:rsidR="00E4436D" w:rsidRPr="00D71151">
        <w:rPr>
          <w:rFonts w:ascii="Arial" w:eastAsia="Calibri" w:hAnsi="Arial" w:cs="Arial"/>
          <w:sz w:val="20"/>
          <w:szCs w:val="20"/>
          <w:lang w:val="en-US"/>
        </w:rPr>
        <w:t xml:space="preserve"> </w:t>
      </w:r>
      <w:r w:rsidRPr="00D71151">
        <w:rPr>
          <w:rFonts w:ascii="Arial" w:eastAsia="Calibri" w:hAnsi="Arial" w:cs="Arial"/>
          <w:sz w:val="20"/>
          <w:szCs w:val="20"/>
          <w:lang w:val="en-US"/>
        </w:rPr>
        <w:t xml:space="preserve">to consult broadly and </w:t>
      </w:r>
      <w:r w:rsidR="00E4436D" w:rsidRPr="00D71151">
        <w:rPr>
          <w:rFonts w:ascii="Arial" w:eastAsia="Calibri" w:hAnsi="Arial" w:cs="Arial"/>
          <w:sz w:val="20"/>
          <w:szCs w:val="20"/>
          <w:lang w:val="en-US"/>
        </w:rPr>
        <w:t xml:space="preserve">engage </w:t>
      </w:r>
      <w:r w:rsidRPr="00D71151">
        <w:rPr>
          <w:rFonts w:ascii="Arial" w:eastAsia="Calibri" w:hAnsi="Arial" w:cs="Arial"/>
          <w:sz w:val="20"/>
          <w:szCs w:val="20"/>
          <w:lang w:val="en-US"/>
        </w:rPr>
        <w:t xml:space="preserve">effectively with all stakeholders who have an interest </w:t>
      </w:r>
      <w:r w:rsidR="00447F95" w:rsidRPr="00D71151">
        <w:rPr>
          <w:rFonts w:ascii="Arial" w:eastAsia="Calibri" w:hAnsi="Arial" w:cs="Arial"/>
          <w:sz w:val="20"/>
          <w:szCs w:val="20"/>
          <w:lang w:val="en-US"/>
        </w:rPr>
        <w:t>in or</w:t>
      </w:r>
      <w:r w:rsidRPr="00D71151">
        <w:rPr>
          <w:rFonts w:ascii="Arial" w:eastAsia="Calibri" w:hAnsi="Arial" w:cs="Arial"/>
          <w:sz w:val="20"/>
          <w:szCs w:val="20"/>
          <w:lang w:val="en-US"/>
        </w:rPr>
        <w:t xml:space="preserve"> will be affected by the </w:t>
      </w:r>
      <w:r w:rsidR="00E4436D" w:rsidRPr="00D71151">
        <w:rPr>
          <w:rFonts w:ascii="Arial" w:eastAsia="Calibri" w:hAnsi="Arial" w:cs="Arial"/>
          <w:sz w:val="20"/>
          <w:szCs w:val="20"/>
          <w:lang w:val="en-US"/>
        </w:rPr>
        <w:t xml:space="preserve">MIMIP </w:t>
      </w:r>
      <w:r w:rsidRPr="00D71151">
        <w:rPr>
          <w:rFonts w:ascii="Arial" w:eastAsia="Calibri" w:hAnsi="Arial" w:cs="Arial"/>
          <w:sz w:val="20"/>
          <w:szCs w:val="20"/>
          <w:lang w:val="en-US"/>
        </w:rPr>
        <w:t xml:space="preserve">project components. The document also </w:t>
      </w:r>
      <w:r w:rsidR="00E4436D" w:rsidRPr="00D71151">
        <w:rPr>
          <w:rFonts w:ascii="Arial" w:eastAsia="Calibri" w:hAnsi="Arial" w:cs="Arial"/>
          <w:sz w:val="20"/>
          <w:szCs w:val="20"/>
          <w:lang w:val="en-US"/>
        </w:rPr>
        <w:t xml:space="preserve">outlines </w:t>
      </w:r>
      <w:r w:rsidRPr="00D71151">
        <w:rPr>
          <w:rFonts w:ascii="Arial" w:eastAsia="Calibri" w:hAnsi="Arial" w:cs="Arial"/>
          <w:sz w:val="20"/>
          <w:szCs w:val="20"/>
          <w:lang w:val="en-US"/>
        </w:rPr>
        <w:t>a grievance redress mechanism for stakeholders to raise their concerns about the project</w:t>
      </w:r>
      <w:r w:rsidR="006A4EB9" w:rsidRPr="00D71151">
        <w:rPr>
          <w:rFonts w:ascii="Arial" w:eastAsia="Calibri" w:hAnsi="Arial" w:cs="Arial"/>
          <w:sz w:val="20"/>
          <w:szCs w:val="20"/>
          <w:lang w:val="en-US"/>
        </w:rPr>
        <w:t>.</w:t>
      </w:r>
      <w:r w:rsidR="005F5C71" w:rsidRPr="00D71151">
        <w:rPr>
          <w:rFonts w:ascii="Arial" w:eastAsia="Calibri" w:hAnsi="Arial" w:cs="Arial"/>
          <w:sz w:val="20"/>
          <w:szCs w:val="20"/>
          <w:lang w:val="en-US"/>
        </w:rPr>
        <w:t xml:space="preserve"> </w:t>
      </w:r>
    </w:p>
    <w:p w14:paraId="4343CC1C" w14:textId="517F7041" w:rsidR="001F4274" w:rsidRPr="00D71151" w:rsidRDefault="006A4EB9" w:rsidP="00961256">
      <w:pPr>
        <w:ind w:right="-589"/>
        <w:rPr>
          <w:rFonts w:ascii="Arial" w:eastAsia="Calibri" w:hAnsi="Arial" w:cs="Arial"/>
          <w:sz w:val="20"/>
          <w:szCs w:val="20"/>
          <w:lang w:val="en-US"/>
        </w:rPr>
      </w:pPr>
      <w:r w:rsidRPr="00D71151">
        <w:rPr>
          <w:rFonts w:ascii="Arial" w:eastAsia="Calibri" w:hAnsi="Arial" w:cs="Arial"/>
          <w:sz w:val="20"/>
          <w:szCs w:val="20"/>
          <w:lang w:val="en-US"/>
        </w:rPr>
        <w:t xml:space="preserve">This </w:t>
      </w:r>
      <w:r w:rsidR="00AF1856" w:rsidRPr="00D71151">
        <w:rPr>
          <w:rFonts w:ascii="Arial" w:eastAsia="Calibri" w:hAnsi="Arial" w:cs="Arial"/>
          <w:sz w:val="20"/>
          <w:szCs w:val="20"/>
          <w:lang w:val="en-US"/>
        </w:rPr>
        <w:t xml:space="preserve">Stakeholder Engagement </w:t>
      </w:r>
      <w:r w:rsidR="00DB202B" w:rsidRPr="00D71151">
        <w:rPr>
          <w:rFonts w:ascii="Arial" w:eastAsia="Calibri" w:hAnsi="Arial" w:cs="Arial"/>
          <w:sz w:val="20"/>
          <w:szCs w:val="20"/>
          <w:lang w:val="en-US"/>
        </w:rPr>
        <w:t>Action Plan</w:t>
      </w:r>
      <w:r w:rsidR="00F256C3" w:rsidRPr="00D71151">
        <w:rPr>
          <w:rFonts w:ascii="Arial" w:eastAsia="Calibri" w:hAnsi="Arial" w:cs="Arial"/>
          <w:sz w:val="20"/>
          <w:szCs w:val="20"/>
          <w:lang w:val="en-US"/>
        </w:rPr>
        <w:t xml:space="preserve"> </w:t>
      </w:r>
      <w:r w:rsidR="004D4632" w:rsidRPr="00D71151">
        <w:rPr>
          <w:rFonts w:ascii="Arial" w:eastAsia="Calibri" w:hAnsi="Arial" w:cs="Arial"/>
          <w:sz w:val="20"/>
          <w:szCs w:val="20"/>
          <w:lang w:val="en-US"/>
        </w:rPr>
        <w:t>(“</w:t>
      </w:r>
      <w:r w:rsidR="004D4632" w:rsidRPr="00D71151">
        <w:rPr>
          <w:rFonts w:ascii="Arial" w:eastAsia="Calibri" w:hAnsi="Arial" w:cs="Arial"/>
          <w:b/>
          <w:bCs/>
          <w:sz w:val="20"/>
          <w:szCs w:val="20"/>
          <w:lang w:val="en-US"/>
        </w:rPr>
        <w:t>SEAP</w:t>
      </w:r>
      <w:r w:rsidR="004D4632" w:rsidRPr="00D71151">
        <w:rPr>
          <w:rFonts w:ascii="Arial" w:eastAsia="Calibri" w:hAnsi="Arial" w:cs="Arial"/>
          <w:sz w:val="20"/>
          <w:szCs w:val="20"/>
          <w:lang w:val="en-US"/>
        </w:rPr>
        <w:t>”</w:t>
      </w:r>
      <w:r w:rsidR="00E45E38" w:rsidRPr="00D71151">
        <w:rPr>
          <w:rFonts w:ascii="Arial" w:eastAsia="Calibri" w:hAnsi="Arial" w:cs="Arial"/>
          <w:sz w:val="20"/>
          <w:szCs w:val="20"/>
          <w:lang w:val="en-US"/>
        </w:rPr>
        <w:t xml:space="preserve">) </w:t>
      </w:r>
      <w:r w:rsidR="00AF0BED" w:rsidRPr="00D71151">
        <w:rPr>
          <w:rFonts w:ascii="Arial" w:eastAsia="Calibri" w:hAnsi="Arial" w:cs="Arial"/>
          <w:sz w:val="20"/>
          <w:szCs w:val="20"/>
          <w:lang w:val="en-US"/>
        </w:rPr>
        <w:t xml:space="preserve">is a subsidiary document </w:t>
      </w:r>
      <w:r w:rsidR="0082727F" w:rsidRPr="00D71151">
        <w:rPr>
          <w:rFonts w:ascii="Arial" w:eastAsia="Calibri" w:hAnsi="Arial" w:cs="Arial"/>
          <w:sz w:val="20"/>
          <w:szCs w:val="20"/>
          <w:lang w:val="en-US"/>
        </w:rPr>
        <w:t xml:space="preserve">under the MIMIP SEP, </w:t>
      </w:r>
      <w:r w:rsidR="00F256C3" w:rsidRPr="00D71151">
        <w:rPr>
          <w:rFonts w:ascii="Arial" w:eastAsia="Calibri" w:hAnsi="Arial" w:cs="Arial"/>
          <w:sz w:val="20"/>
          <w:szCs w:val="20"/>
          <w:lang w:val="en-US"/>
        </w:rPr>
        <w:t xml:space="preserve">developed to address </w:t>
      </w:r>
      <w:r w:rsidR="00AF0BED" w:rsidRPr="00D71151">
        <w:rPr>
          <w:rFonts w:ascii="Arial" w:eastAsia="Calibri" w:hAnsi="Arial" w:cs="Arial"/>
          <w:sz w:val="20"/>
          <w:szCs w:val="20"/>
          <w:lang w:val="en-US"/>
        </w:rPr>
        <w:t xml:space="preserve">MIMIP </w:t>
      </w:r>
      <w:r w:rsidR="00DB202B" w:rsidRPr="00D71151">
        <w:rPr>
          <w:rFonts w:ascii="Arial" w:eastAsia="Calibri" w:hAnsi="Arial" w:cs="Arial"/>
          <w:sz w:val="20"/>
          <w:szCs w:val="20"/>
          <w:lang w:val="en-US"/>
        </w:rPr>
        <w:t xml:space="preserve">stakeholder engagement </w:t>
      </w:r>
      <w:r w:rsidR="00F256C3" w:rsidRPr="00D71151">
        <w:rPr>
          <w:rFonts w:ascii="Arial" w:eastAsia="Calibri" w:hAnsi="Arial" w:cs="Arial"/>
          <w:sz w:val="20"/>
          <w:szCs w:val="20"/>
          <w:lang w:val="en-US"/>
        </w:rPr>
        <w:t xml:space="preserve">actions over the period </w:t>
      </w:r>
      <w:r w:rsidR="00C06502">
        <w:rPr>
          <w:rFonts w:ascii="Arial" w:eastAsia="Calibri" w:hAnsi="Arial" w:cs="Arial"/>
          <w:sz w:val="20"/>
          <w:szCs w:val="20"/>
          <w:lang w:val="en-US"/>
        </w:rPr>
        <w:t>April</w:t>
      </w:r>
      <w:r w:rsidR="00F256C3" w:rsidRPr="00D71151">
        <w:rPr>
          <w:rFonts w:ascii="Arial" w:eastAsia="Calibri" w:hAnsi="Arial" w:cs="Arial"/>
          <w:sz w:val="20"/>
          <w:szCs w:val="20"/>
          <w:lang w:val="en-US"/>
        </w:rPr>
        <w:t xml:space="preserve"> 202</w:t>
      </w:r>
      <w:r w:rsidR="00C06502">
        <w:rPr>
          <w:rFonts w:ascii="Arial" w:eastAsia="Calibri" w:hAnsi="Arial" w:cs="Arial"/>
          <w:sz w:val="20"/>
          <w:szCs w:val="20"/>
          <w:lang w:val="en-US"/>
        </w:rPr>
        <w:t>2</w:t>
      </w:r>
      <w:r w:rsidR="00F256C3" w:rsidRPr="00D71151">
        <w:rPr>
          <w:rFonts w:ascii="Arial" w:eastAsia="Calibri" w:hAnsi="Arial" w:cs="Arial"/>
          <w:sz w:val="20"/>
          <w:szCs w:val="20"/>
          <w:lang w:val="en-US"/>
        </w:rPr>
        <w:t xml:space="preserve"> to </w:t>
      </w:r>
      <w:r w:rsidR="00C06502">
        <w:rPr>
          <w:rFonts w:ascii="Arial" w:eastAsia="Calibri" w:hAnsi="Arial" w:cs="Arial"/>
          <w:sz w:val="20"/>
          <w:szCs w:val="20"/>
          <w:lang w:val="en-US"/>
        </w:rPr>
        <w:t>April</w:t>
      </w:r>
      <w:r w:rsidR="00F256C3" w:rsidRPr="00D71151">
        <w:rPr>
          <w:rFonts w:ascii="Arial" w:eastAsia="Calibri" w:hAnsi="Arial" w:cs="Arial"/>
          <w:sz w:val="20"/>
          <w:szCs w:val="20"/>
          <w:lang w:val="en-US"/>
        </w:rPr>
        <w:t xml:space="preserve"> 202</w:t>
      </w:r>
      <w:r w:rsidR="00C06502">
        <w:rPr>
          <w:rFonts w:ascii="Arial" w:eastAsia="Calibri" w:hAnsi="Arial" w:cs="Arial"/>
          <w:sz w:val="20"/>
          <w:szCs w:val="20"/>
          <w:lang w:val="en-US"/>
        </w:rPr>
        <w:t>3</w:t>
      </w:r>
      <w:r w:rsidR="001F4274" w:rsidRPr="00D71151">
        <w:rPr>
          <w:rFonts w:ascii="Arial" w:eastAsia="Calibri" w:hAnsi="Arial" w:cs="Arial"/>
          <w:sz w:val="20"/>
          <w:szCs w:val="20"/>
          <w:lang w:val="en-US"/>
        </w:rPr>
        <w:t xml:space="preserve">. </w:t>
      </w:r>
      <w:r w:rsidR="004D4632" w:rsidRPr="00D71151">
        <w:rPr>
          <w:rFonts w:ascii="Arial" w:eastAsia="Calibri" w:hAnsi="Arial" w:cs="Arial"/>
          <w:sz w:val="20"/>
          <w:szCs w:val="20"/>
          <w:lang w:val="en-US"/>
        </w:rPr>
        <w:t xml:space="preserve">The </w:t>
      </w:r>
      <w:r w:rsidR="00E45E38" w:rsidRPr="00D71151">
        <w:rPr>
          <w:rFonts w:ascii="Arial" w:eastAsia="Calibri" w:hAnsi="Arial" w:cs="Arial"/>
          <w:sz w:val="20"/>
          <w:szCs w:val="20"/>
          <w:lang w:val="en-US"/>
        </w:rPr>
        <w:t>SEAP is based on project MIMIP workflow over the period under consideration.  It is inten</w:t>
      </w:r>
      <w:r w:rsidR="0093512F" w:rsidRPr="00D71151">
        <w:rPr>
          <w:rFonts w:ascii="Arial" w:eastAsia="Calibri" w:hAnsi="Arial" w:cs="Arial"/>
          <w:sz w:val="20"/>
          <w:szCs w:val="20"/>
          <w:lang w:val="en-US"/>
        </w:rPr>
        <w:t>d</w:t>
      </w:r>
      <w:r w:rsidR="00E45E38" w:rsidRPr="00D71151">
        <w:rPr>
          <w:rFonts w:ascii="Arial" w:eastAsia="Calibri" w:hAnsi="Arial" w:cs="Arial"/>
          <w:sz w:val="20"/>
          <w:szCs w:val="20"/>
          <w:lang w:val="en-US"/>
        </w:rPr>
        <w:t>ed that the SEAP will be reviewed and updated on an annual basis.</w:t>
      </w:r>
    </w:p>
    <w:p w14:paraId="1AFA253E" w14:textId="22E0EF0C" w:rsidR="0033022C" w:rsidRPr="005F5C71" w:rsidRDefault="0033022C" w:rsidP="00D71151">
      <w:pPr>
        <w:pStyle w:val="Heading2"/>
      </w:pPr>
      <w:bookmarkStart w:id="4" w:name="_Toc533615233"/>
      <w:r w:rsidRPr="005F5C71">
        <w:tab/>
      </w:r>
      <w:bookmarkStart w:id="5" w:name="_Toc98072619"/>
      <w:r w:rsidRPr="005F5C71">
        <w:t>Project description</w:t>
      </w:r>
      <w:bookmarkEnd w:id="4"/>
      <w:bookmarkEnd w:id="5"/>
    </w:p>
    <w:p w14:paraId="21490D7F" w14:textId="7155543E" w:rsidR="0033022C" w:rsidRPr="00D71151" w:rsidRDefault="004D4632" w:rsidP="00F24700">
      <w:pPr>
        <w:rPr>
          <w:rFonts w:ascii="Arial" w:eastAsia="Calibri" w:hAnsi="Arial" w:cs="Arial"/>
          <w:sz w:val="20"/>
          <w:szCs w:val="20"/>
          <w:lang w:val="en-US"/>
        </w:rPr>
      </w:pPr>
      <w:r w:rsidRPr="00D71151">
        <w:rPr>
          <w:rFonts w:ascii="Arial" w:eastAsia="Calibri" w:hAnsi="Arial" w:cs="Arial"/>
          <w:sz w:val="20"/>
          <w:szCs w:val="20"/>
          <w:lang w:val="en-US"/>
        </w:rPr>
        <w:t xml:space="preserve">The SEP identifies </w:t>
      </w:r>
      <w:r w:rsidR="00E45E38" w:rsidRPr="00D71151">
        <w:rPr>
          <w:rFonts w:ascii="Arial" w:eastAsia="Calibri" w:hAnsi="Arial" w:cs="Arial"/>
          <w:sz w:val="20"/>
          <w:szCs w:val="20"/>
          <w:lang w:val="en-US"/>
        </w:rPr>
        <w:t>potential</w:t>
      </w:r>
      <w:r w:rsidR="00A1281E" w:rsidRPr="00D71151">
        <w:rPr>
          <w:rFonts w:ascii="Arial" w:eastAsia="Calibri" w:hAnsi="Arial" w:cs="Arial"/>
          <w:sz w:val="20"/>
          <w:szCs w:val="20"/>
          <w:lang w:val="en-US"/>
        </w:rPr>
        <w:t xml:space="preserve"> </w:t>
      </w:r>
      <w:r w:rsidR="00AF1856" w:rsidRPr="00D71151">
        <w:rPr>
          <w:rFonts w:ascii="Arial" w:eastAsia="Calibri" w:hAnsi="Arial" w:cs="Arial"/>
          <w:sz w:val="20"/>
          <w:szCs w:val="20"/>
          <w:lang w:val="en-US"/>
        </w:rPr>
        <w:t xml:space="preserve">MIMIP </w:t>
      </w:r>
      <w:r w:rsidR="00A1281E" w:rsidRPr="00D71151">
        <w:rPr>
          <w:rFonts w:ascii="Arial" w:eastAsia="Calibri" w:hAnsi="Arial" w:cs="Arial"/>
          <w:sz w:val="20"/>
          <w:szCs w:val="20"/>
          <w:lang w:val="en-US"/>
        </w:rPr>
        <w:t xml:space="preserve">project components at each port location </w:t>
      </w:r>
      <w:r w:rsidRPr="00D71151">
        <w:rPr>
          <w:rFonts w:ascii="Arial" w:eastAsia="Calibri" w:hAnsi="Arial" w:cs="Arial"/>
          <w:sz w:val="20"/>
          <w:szCs w:val="20"/>
          <w:lang w:val="en-US"/>
        </w:rPr>
        <w:t>as follows</w:t>
      </w:r>
      <w:r w:rsidR="0033022C" w:rsidRPr="00D71151">
        <w:rPr>
          <w:rFonts w:ascii="Arial" w:eastAsia="Calibri" w:hAnsi="Arial" w:cs="Arial"/>
          <w:sz w:val="20"/>
          <w:szCs w:val="20"/>
          <w:lang w:val="en-US"/>
        </w:rPr>
        <w:t>:</w:t>
      </w:r>
    </w:p>
    <w:p w14:paraId="0A978866" w14:textId="0D304923" w:rsidR="003C4867" w:rsidRPr="00D71151" w:rsidRDefault="003C4867" w:rsidP="003C4867">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Reconstruction of key building and facilities in the primary handling area, such as Customs Office, inspection facilities, fuel station, reefer connections, water and power supply, at Majuro Delap Dock</w:t>
      </w:r>
    </w:p>
    <w:p w14:paraId="72585A90" w14:textId="7C7BD58C" w:rsidR="003C4867" w:rsidRPr="00D71151" w:rsidRDefault="003C4867" w:rsidP="003C4867">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 xml:space="preserve">Port control, tower, communications tools and equipment, hoist system and four passenger pontoons, at </w:t>
      </w:r>
      <w:r w:rsidR="00B65E31" w:rsidRPr="00D71151">
        <w:rPr>
          <w:rFonts w:ascii="Arial" w:hAnsi="Arial" w:cs="Arial"/>
          <w:sz w:val="20"/>
          <w:szCs w:val="20"/>
          <w:lang w:val="en-US"/>
        </w:rPr>
        <w:t>Majuro</w:t>
      </w:r>
      <w:r w:rsidRPr="00D71151">
        <w:rPr>
          <w:rFonts w:ascii="Arial" w:hAnsi="Arial" w:cs="Arial"/>
          <w:sz w:val="20"/>
          <w:szCs w:val="20"/>
          <w:lang w:val="en-US"/>
        </w:rPr>
        <w:t xml:space="preserve"> Uliga Dock</w:t>
      </w:r>
    </w:p>
    <w:p w14:paraId="42973847" w14:textId="35BC6019" w:rsidR="003C4867" w:rsidRPr="00D71151" w:rsidRDefault="003C4867" w:rsidP="003C4867">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Cargo handling equipment for both Majuro docks</w:t>
      </w:r>
    </w:p>
    <w:p w14:paraId="3E56E046" w14:textId="16BF8091" w:rsidR="003C4867" w:rsidRPr="00D71151" w:rsidRDefault="003C4867" w:rsidP="00B159ED">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 xml:space="preserve">Repairs to port facilities structures at Jaluit and Wotje </w:t>
      </w:r>
    </w:p>
    <w:p w14:paraId="25E6A729" w14:textId="4BB3FA37" w:rsidR="003C4867" w:rsidRPr="00D71151" w:rsidRDefault="0043616D" w:rsidP="003C4867">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R</w:t>
      </w:r>
      <w:r w:rsidR="003C4867" w:rsidRPr="00D71151">
        <w:rPr>
          <w:rFonts w:ascii="Arial" w:hAnsi="Arial" w:cs="Arial"/>
          <w:sz w:val="20"/>
          <w:szCs w:val="20"/>
          <w:lang w:val="en-US"/>
        </w:rPr>
        <w:t>epairs and improvements to existing quay structures at Delap, Uliga and Ebeye docks</w:t>
      </w:r>
    </w:p>
    <w:p w14:paraId="1CA79F8C" w14:textId="5292EB04" w:rsidR="003C4867" w:rsidRPr="00D71151" w:rsidRDefault="0043616D" w:rsidP="003C4867">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L</w:t>
      </w:r>
      <w:r w:rsidR="003C4867" w:rsidRPr="00D71151">
        <w:rPr>
          <w:rFonts w:ascii="Arial" w:hAnsi="Arial" w:cs="Arial"/>
          <w:sz w:val="20"/>
          <w:szCs w:val="20"/>
          <w:lang w:val="en-US"/>
        </w:rPr>
        <w:t xml:space="preserve">evelling, subbase and pavement works at </w:t>
      </w:r>
      <w:r w:rsidR="0093512F" w:rsidRPr="00D71151">
        <w:rPr>
          <w:rFonts w:ascii="Arial" w:hAnsi="Arial" w:cs="Arial"/>
          <w:sz w:val="20"/>
          <w:szCs w:val="20"/>
          <w:lang w:val="en-US"/>
        </w:rPr>
        <w:t xml:space="preserve">Delap </w:t>
      </w:r>
      <w:r w:rsidR="003C4867" w:rsidRPr="00D71151">
        <w:rPr>
          <w:rFonts w:ascii="Arial" w:hAnsi="Arial" w:cs="Arial"/>
          <w:sz w:val="20"/>
          <w:szCs w:val="20"/>
          <w:lang w:val="en-US"/>
        </w:rPr>
        <w:t>container storage areas</w:t>
      </w:r>
    </w:p>
    <w:p w14:paraId="65A0748E" w14:textId="694EECE4" w:rsidR="003C4867" w:rsidRPr="00D71151" w:rsidRDefault="0043616D" w:rsidP="003C4867">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R</w:t>
      </w:r>
      <w:r w:rsidR="003C4867" w:rsidRPr="00D71151">
        <w:rPr>
          <w:rFonts w:ascii="Arial" w:hAnsi="Arial" w:cs="Arial"/>
          <w:sz w:val="20"/>
          <w:szCs w:val="20"/>
          <w:lang w:val="en-US"/>
        </w:rPr>
        <w:t>ehabilitation of terminal lighting and other utilities, as needed</w:t>
      </w:r>
    </w:p>
    <w:p w14:paraId="57A45C5A" w14:textId="13E2CB03" w:rsidR="003C4867" w:rsidRPr="00D71151" w:rsidRDefault="0043616D" w:rsidP="003C4867">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I</w:t>
      </w:r>
      <w:r w:rsidR="003C4867" w:rsidRPr="00D71151">
        <w:rPr>
          <w:rFonts w:ascii="Arial" w:hAnsi="Arial" w:cs="Arial"/>
          <w:sz w:val="20"/>
          <w:szCs w:val="20"/>
          <w:lang w:val="en-US"/>
        </w:rPr>
        <w:t xml:space="preserve">mprovements to fencing, gates and lighting to enable compliance with International Ship and Port Facility Security Code requirements </w:t>
      </w:r>
    </w:p>
    <w:p w14:paraId="5777D0B2" w14:textId="7E92DFF1" w:rsidR="003C4867" w:rsidRPr="00D71151" w:rsidRDefault="0043616D" w:rsidP="003C4867">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D</w:t>
      </w:r>
      <w:r w:rsidR="003C4867" w:rsidRPr="00D71151">
        <w:rPr>
          <w:rFonts w:ascii="Arial" w:hAnsi="Arial" w:cs="Arial"/>
          <w:sz w:val="20"/>
          <w:szCs w:val="20"/>
          <w:lang w:val="en-US"/>
        </w:rPr>
        <w:t>eveloping waste management arrangements</w:t>
      </w:r>
    </w:p>
    <w:p w14:paraId="2A8E1B00" w14:textId="77777777" w:rsidR="003C4867" w:rsidRPr="00D71151" w:rsidRDefault="0043616D" w:rsidP="003C4867">
      <w:pPr>
        <w:pStyle w:val="ListParagraph"/>
        <w:numPr>
          <w:ilvl w:val="0"/>
          <w:numId w:val="1"/>
        </w:numPr>
        <w:spacing w:after="120"/>
        <w:ind w:left="567" w:hanging="567"/>
        <w:contextualSpacing w:val="0"/>
        <w:rPr>
          <w:rFonts w:ascii="Arial" w:hAnsi="Arial" w:cs="Arial"/>
          <w:sz w:val="20"/>
          <w:szCs w:val="20"/>
          <w:lang w:val="en-US"/>
        </w:rPr>
      </w:pPr>
      <w:r w:rsidRPr="00D71151">
        <w:rPr>
          <w:rFonts w:ascii="Arial" w:hAnsi="Arial" w:cs="Arial"/>
          <w:sz w:val="20"/>
          <w:szCs w:val="20"/>
          <w:lang w:val="en-US"/>
        </w:rPr>
        <w:t>U</w:t>
      </w:r>
      <w:r w:rsidR="003C4867" w:rsidRPr="00D71151">
        <w:rPr>
          <w:rFonts w:ascii="Arial" w:hAnsi="Arial" w:cs="Arial"/>
          <w:sz w:val="20"/>
          <w:szCs w:val="20"/>
          <w:lang w:val="en-US"/>
        </w:rPr>
        <w:t xml:space="preserve">pgrading Aids to Navigation; and </w:t>
      </w:r>
    </w:p>
    <w:p w14:paraId="28AE9CC7" w14:textId="77777777" w:rsidR="0033022C" w:rsidRPr="00D71151" w:rsidRDefault="0043616D" w:rsidP="00961256">
      <w:pPr>
        <w:pStyle w:val="ListParagraph"/>
        <w:numPr>
          <w:ilvl w:val="0"/>
          <w:numId w:val="1"/>
        </w:numPr>
        <w:ind w:left="567" w:hanging="567"/>
        <w:contextualSpacing w:val="0"/>
        <w:rPr>
          <w:rFonts w:ascii="Arial" w:hAnsi="Arial" w:cs="Arial"/>
          <w:sz w:val="20"/>
          <w:szCs w:val="20"/>
          <w:lang w:val="en-US"/>
        </w:rPr>
      </w:pPr>
      <w:r w:rsidRPr="00D71151">
        <w:rPr>
          <w:rFonts w:ascii="Arial" w:hAnsi="Arial" w:cs="Arial"/>
          <w:sz w:val="20"/>
          <w:szCs w:val="20"/>
          <w:lang w:val="en-US"/>
        </w:rPr>
        <w:t>A</w:t>
      </w:r>
      <w:r w:rsidR="003C4867" w:rsidRPr="00D71151">
        <w:rPr>
          <w:rFonts w:ascii="Arial" w:hAnsi="Arial" w:cs="Arial"/>
          <w:sz w:val="20"/>
          <w:szCs w:val="20"/>
          <w:lang w:val="en-US"/>
        </w:rPr>
        <w:t>ssess options and measure</w:t>
      </w:r>
      <w:r w:rsidR="00B159ED" w:rsidRPr="00D71151">
        <w:rPr>
          <w:rFonts w:ascii="Arial" w:hAnsi="Arial" w:cs="Arial"/>
          <w:sz w:val="20"/>
          <w:szCs w:val="20"/>
          <w:lang w:val="en-US"/>
        </w:rPr>
        <w:t>s</w:t>
      </w:r>
      <w:r w:rsidR="003C4867" w:rsidRPr="00D71151">
        <w:rPr>
          <w:rFonts w:ascii="Arial" w:hAnsi="Arial" w:cs="Arial"/>
          <w:sz w:val="20"/>
          <w:szCs w:val="20"/>
          <w:lang w:val="en-US"/>
        </w:rPr>
        <w:t xml:space="preserve"> to counter trafficking in persons</w:t>
      </w:r>
      <w:r w:rsidR="0033022C" w:rsidRPr="00D71151">
        <w:rPr>
          <w:rFonts w:ascii="Arial" w:hAnsi="Arial" w:cs="Arial"/>
          <w:sz w:val="20"/>
          <w:szCs w:val="20"/>
          <w:lang w:val="en-US"/>
        </w:rPr>
        <w:t>.</w:t>
      </w:r>
    </w:p>
    <w:p w14:paraId="4DC14699" w14:textId="77777777" w:rsidR="0033022C" w:rsidRPr="00D71151" w:rsidRDefault="0033022C" w:rsidP="00961256">
      <w:pPr>
        <w:spacing w:after="120"/>
        <w:rPr>
          <w:rFonts w:ascii="Arial" w:eastAsia="Calibri" w:hAnsi="Arial" w:cs="Arial"/>
          <w:sz w:val="20"/>
          <w:szCs w:val="20"/>
          <w:lang w:val="en-US"/>
        </w:rPr>
      </w:pPr>
      <w:r w:rsidRPr="00D71151">
        <w:rPr>
          <w:rFonts w:ascii="Arial" w:eastAsia="Calibri" w:hAnsi="Arial" w:cs="Arial"/>
          <w:sz w:val="20"/>
          <w:szCs w:val="20"/>
          <w:lang w:val="en-US"/>
        </w:rPr>
        <w:t xml:space="preserve">In undertaking the assessment, technical assistance will be provided </w:t>
      </w:r>
      <w:r w:rsidR="00B159ED" w:rsidRPr="00D71151">
        <w:rPr>
          <w:rFonts w:ascii="Arial" w:eastAsia="Calibri" w:hAnsi="Arial" w:cs="Arial"/>
          <w:sz w:val="20"/>
          <w:szCs w:val="20"/>
          <w:lang w:val="en-US"/>
        </w:rPr>
        <w:t>in relations to</w:t>
      </w:r>
      <w:r w:rsidRPr="00D71151">
        <w:rPr>
          <w:rFonts w:ascii="Arial" w:eastAsia="Calibri" w:hAnsi="Arial" w:cs="Arial"/>
          <w:sz w:val="20"/>
          <w:szCs w:val="20"/>
          <w:lang w:val="en-US"/>
        </w:rPr>
        <w:t xml:space="preserve">: </w:t>
      </w:r>
    </w:p>
    <w:p w14:paraId="0ABE404A" w14:textId="63A6270C" w:rsidR="0033022C" w:rsidRPr="00D71151" w:rsidRDefault="0033022C" w:rsidP="008027B2">
      <w:pPr>
        <w:numPr>
          <w:ilvl w:val="0"/>
          <w:numId w:val="2"/>
        </w:numPr>
        <w:autoSpaceDE w:val="0"/>
        <w:autoSpaceDN w:val="0"/>
        <w:adjustRightInd w:val="0"/>
        <w:spacing w:after="120"/>
        <w:ind w:left="567" w:hanging="567"/>
        <w:rPr>
          <w:rFonts w:ascii="Arial" w:eastAsia="Calibri" w:hAnsi="Arial" w:cs="Arial"/>
          <w:color w:val="000000"/>
          <w:sz w:val="20"/>
          <w:szCs w:val="20"/>
          <w:lang w:val="en-US"/>
        </w:rPr>
      </w:pPr>
      <w:r w:rsidRPr="00D71151">
        <w:rPr>
          <w:rFonts w:ascii="Arial" w:eastAsia="Calibri" w:hAnsi="Arial" w:cs="Arial"/>
          <w:color w:val="000000"/>
          <w:sz w:val="20"/>
          <w:szCs w:val="20"/>
          <w:lang w:val="en-US"/>
        </w:rPr>
        <w:t>Enhancing Search and Rescue Awareness</w:t>
      </w:r>
    </w:p>
    <w:p w14:paraId="3FB50F28" w14:textId="77777777" w:rsidR="0033022C" w:rsidRPr="00D71151" w:rsidRDefault="0033022C" w:rsidP="008027B2">
      <w:pPr>
        <w:numPr>
          <w:ilvl w:val="0"/>
          <w:numId w:val="2"/>
        </w:numPr>
        <w:autoSpaceDE w:val="0"/>
        <w:autoSpaceDN w:val="0"/>
        <w:adjustRightInd w:val="0"/>
        <w:spacing w:after="120"/>
        <w:ind w:left="567" w:hanging="567"/>
        <w:rPr>
          <w:rFonts w:ascii="Arial" w:eastAsia="Calibri" w:hAnsi="Arial" w:cs="Arial"/>
          <w:color w:val="000000"/>
          <w:sz w:val="20"/>
          <w:szCs w:val="20"/>
          <w:lang w:val="en-US"/>
        </w:rPr>
      </w:pPr>
      <w:r w:rsidRPr="00D71151">
        <w:rPr>
          <w:rFonts w:ascii="Arial" w:eastAsia="Calibri" w:hAnsi="Arial" w:cs="Arial"/>
          <w:color w:val="000000"/>
          <w:sz w:val="20"/>
          <w:szCs w:val="20"/>
          <w:lang w:val="en-US"/>
        </w:rPr>
        <w:t>Capacity Building</w:t>
      </w:r>
      <w:r w:rsidR="003C4867" w:rsidRPr="00D71151">
        <w:rPr>
          <w:rFonts w:ascii="Arial" w:eastAsia="Calibri" w:hAnsi="Arial" w:cs="Arial"/>
          <w:color w:val="000000"/>
          <w:sz w:val="20"/>
          <w:szCs w:val="20"/>
          <w:lang w:val="en-US"/>
        </w:rPr>
        <w:t>; and</w:t>
      </w:r>
    </w:p>
    <w:p w14:paraId="201334D2" w14:textId="7834D2FE" w:rsidR="0033022C" w:rsidRPr="00D71151" w:rsidRDefault="0033022C" w:rsidP="003C4867">
      <w:pPr>
        <w:numPr>
          <w:ilvl w:val="0"/>
          <w:numId w:val="2"/>
        </w:numPr>
        <w:autoSpaceDE w:val="0"/>
        <w:autoSpaceDN w:val="0"/>
        <w:adjustRightInd w:val="0"/>
        <w:ind w:left="567" w:hanging="567"/>
        <w:rPr>
          <w:rFonts w:ascii="Arial" w:eastAsia="Calibri" w:hAnsi="Arial" w:cs="Arial"/>
          <w:color w:val="000000"/>
          <w:sz w:val="20"/>
          <w:szCs w:val="20"/>
          <w:lang w:val="en-US"/>
        </w:rPr>
      </w:pPr>
      <w:r w:rsidRPr="00D71151">
        <w:rPr>
          <w:rFonts w:ascii="Arial" w:eastAsia="Calibri" w:hAnsi="Arial" w:cs="Arial"/>
          <w:color w:val="000000"/>
          <w:sz w:val="20"/>
          <w:szCs w:val="20"/>
          <w:lang w:val="en-US"/>
        </w:rPr>
        <w:t>Human Trafficking and Gender-Based Violence (GBV)</w:t>
      </w:r>
      <w:r w:rsidR="0082727F" w:rsidRPr="00D71151">
        <w:rPr>
          <w:rFonts w:ascii="Arial" w:eastAsia="Calibri" w:hAnsi="Arial" w:cs="Arial"/>
          <w:color w:val="000000"/>
          <w:sz w:val="20"/>
          <w:szCs w:val="20"/>
          <w:lang w:val="en-US"/>
        </w:rPr>
        <w:t>, including Sexual Exploitation and Abuse (SEA) and Sexual Harassment (SH).</w:t>
      </w:r>
    </w:p>
    <w:p w14:paraId="1BDE141D" w14:textId="619C449F" w:rsidR="00A1281E" w:rsidRPr="00D71151" w:rsidRDefault="00A01A8A" w:rsidP="00A1281E">
      <w:pPr>
        <w:autoSpaceDE w:val="0"/>
        <w:autoSpaceDN w:val="0"/>
        <w:adjustRightInd w:val="0"/>
        <w:rPr>
          <w:rFonts w:ascii="Arial" w:eastAsia="Calibri" w:hAnsi="Arial" w:cs="Arial"/>
          <w:color w:val="000000"/>
          <w:sz w:val="20"/>
          <w:szCs w:val="20"/>
          <w:lang w:val="en-US"/>
        </w:rPr>
      </w:pPr>
      <w:r w:rsidRPr="00D71151">
        <w:rPr>
          <w:rFonts w:ascii="Arial" w:eastAsia="Calibri" w:hAnsi="Arial" w:cs="Arial"/>
          <w:color w:val="000000"/>
          <w:sz w:val="20"/>
          <w:szCs w:val="20"/>
          <w:lang w:val="en-US"/>
        </w:rPr>
        <w:t>Th</w:t>
      </w:r>
      <w:r w:rsidR="00A1281E" w:rsidRPr="00D71151">
        <w:rPr>
          <w:rFonts w:ascii="Arial" w:eastAsia="Calibri" w:hAnsi="Arial" w:cs="Arial"/>
          <w:color w:val="000000"/>
          <w:sz w:val="20"/>
          <w:szCs w:val="20"/>
          <w:lang w:val="en-US"/>
        </w:rPr>
        <w:t xml:space="preserve">is </w:t>
      </w:r>
      <w:r w:rsidR="00E45E38" w:rsidRPr="00D71151">
        <w:rPr>
          <w:rFonts w:ascii="Arial" w:eastAsia="Calibri" w:hAnsi="Arial" w:cs="Arial"/>
          <w:color w:val="000000"/>
          <w:sz w:val="20"/>
          <w:szCs w:val="20"/>
          <w:lang w:val="en-US"/>
        </w:rPr>
        <w:t xml:space="preserve">list </w:t>
      </w:r>
      <w:r w:rsidR="004D4632" w:rsidRPr="00D71151">
        <w:rPr>
          <w:rFonts w:ascii="Arial" w:eastAsia="Calibri" w:hAnsi="Arial" w:cs="Arial"/>
          <w:color w:val="000000"/>
          <w:sz w:val="20"/>
          <w:szCs w:val="20"/>
          <w:lang w:val="en-US"/>
        </w:rPr>
        <w:t xml:space="preserve">will </w:t>
      </w:r>
      <w:r w:rsidRPr="00D71151">
        <w:rPr>
          <w:rFonts w:ascii="Arial" w:eastAsia="Calibri" w:hAnsi="Arial" w:cs="Arial"/>
          <w:color w:val="000000"/>
          <w:sz w:val="20"/>
          <w:szCs w:val="20"/>
          <w:lang w:val="en-US"/>
        </w:rPr>
        <w:t xml:space="preserve">be updated once </w:t>
      </w:r>
      <w:r w:rsidR="00E45E38" w:rsidRPr="00D71151">
        <w:rPr>
          <w:rFonts w:ascii="Arial" w:eastAsia="Calibri" w:hAnsi="Arial" w:cs="Arial"/>
          <w:color w:val="000000"/>
          <w:sz w:val="20"/>
          <w:szCs w:val="20"/>
          <w:lang w:val="en-US"/>
        </w:rPr>
        <w:t xml:space="preserve">the </w:t>
      </w:r>
      <w:r w:rsidRPr="00D71151">
        <w:rPr>
          <w:rFonts w:ascii="Arial" w:eastAsia="Calibri" w:hAnsi="Arial" w:cs="Arial"/>
          <w:color w:val="000000"/>
          <w:sz w:val="20"/>
          <w:szCs w:val="20"/>
          <w:lang w:val="en-US"/>
        </w:rPr>
        <w:t xml:space="preserve">list of project components is agreed upon and </w:t>
      </w:r>
      <w:r w:rsidR="00B65E31" w:rsidRPr="00D71151">
        <w:rPr>
          <w:rFonts w:ascii="Arial" w:eastAsia="Calibri" w:hAnsi="Arial" w:cs="Arial"/>
          <w:color w:val="000000"/>
          <w:sz w:val="20"/>
          <w:szCs w:val="20"/>
          <w:lang w:val="en-US"/>
        </w:rPr>
        <w:t>finalized</w:t>
      </w:r>
      <w:r w:rsidRPr="00D71151">
        <w:rPr>
          <w:rFonts w:ascii="Arial" w:eastAsia="Calibri" w:hAnsi="Arial" w:cs="Arial"/>
          <w:color w:val="000000"/>
          <w:sz w:val="20"/>
          <w:szCs w:val="20"/>
          <w:lang w:val="en-US"/>
        </w:rPr>
        <w:t>.</w:t>
      </w:r>
      <w:r w:rsidR="005F5C71" w:rsidRPr="00D71151">
        <w:rPr>
          <w:rFonts w:ascii="Arial" w:eastAsia="Calibri" w:hAnsi="Arial" w:cs="Arial"/>
          <w:color w:val="000000"/>
          <w:sz w:val="20"/>
          <w:szCs w:val="20"/>
          <w:lang w:val="en-US"/>
        </w:rPr>
        <w:t xml:space="preserve"> </w:t>
      </w:r>
    </w:p>
    <w:p w14:paraId="67DD8C1C" w14:textId="77777777" w:rsidR="0033022C" w:rsidRPr="005F5C71" w:rsidRDefault="0033022C" w:rsidP="0033022C">
      <w:pPr>
        <w:rPr>
          <w:rFonts w:eastAsia="Times New Roman" w:cs="Times New Roman"/>
          <w:b/>
          <w:color w:val="E36C0A"/>
          <w:sz w:val="26"/>
          <w:szCs w:val="26"/>
          <w:lang w:val="en-US"/>
        </w:rPr>
      </w:pPr>
      <w:r w:rsidRPr="005F5C71">
        <w:rPr>
          <w:rFonts w:eastAsia="Calibri" w:cs="Times New Roman"/>
          <w:b/>
          <w:lang w:val="en-US"/>
        </w:rPr>
        <w:br w:type="page"/>
      </w:r>
    </w:p>
    <w:p w14:paraId="6EF53449" w14:textId="104D3CA6" w:rsidR="0033022C" w:rsidRDefault="00697E78" w:rsidP="00D71151">
      <w:pPr>
        <w:pStyle w:val="Heading1"/>
      </w:pPr>
      <w:bookmarkStart w:id="6" w:name="_Toc533615245"/>
      <w:bookmarkStart w:id="7" w:name="_Toc98072620"/>
      <w:r>
        <w:lastRenderedPageBreak/>
        <w:t xml:space="preserve">Activities Covered Under </w:t>
      </w:r>
      <w:r w:rsidR="004D4632">
        <w:t xml:space="preserve">Stakeholder Engagement </w:t>
      </w:r>
      <w:r w:rsidR="0033022C" w:rsidRPr="005F5C71">
        <w:t>Action Plan</w:t>
      </w:r>
      <w:bookmarkEnd w:id="6"/>
      <w:bookmarkEnd w:id="7"/>
      <w:r w:rsidR="0033022C" w:rsidRPr="005F5C71">
        <w:t xml:space="preserve"> </w:t>
      </w:r>
    </w:p>
    <w:p w14:paraId="174BF9C0" w14:textId="76C4DD66" w:rsidR="00B26374" w:rsidRPr="00D71151" w:rsidRDefault="00B26374" w:rsidP="00D71151">
      <w:pPr>
        <w:pStyle w:val="Heading2"/>
      </w:pPr>
      <w:bookmarkStart w:id="8" w:name="_Toc98072621"/>
      <w:r w:rsidRPr="00D71151">
        <w:t>Introduction</w:t>
      </w:r>
      <w:bookmarkEnd w:id="8"/>
    </w:p>
    <w:p w14:paraId="796E8032" w14:textId="61FE483E" w:rsidR="00B26374" w:rsidRPr="00D71151" w:rsidRDefault="00B26374" w:rsidP="00961256">
      <w:pPr>
        <w:ind w:right="-589"/>
        <w:rPr>
          <w:rFonts w:ascii="Arial" w:hAnsi="Arial" w:cs="Arial"/>
          <w:sz w:val="20"/>
          <w:szCs w:val="20"/>
          <w:lang w:val="en-US"/>
        </w:rPr>
      </w:pPr>
      <w:r w:rsidRPr="00D71151">
        <w:rPr>
          <w:rFonts w:ascii="Arial" w:eastAsia="Calibri" w:hAnsi="Arial" w:cs="Arial"/>
          <w:sz w:val="20"/>
          <w:szCs w:val="20"/>
          <w:lang w:val="en-US"/>
        </w:rPr>
        <w:t xml:space="preserve">This </w:t>
      </w:r>
      <w:r w:rsidR="004B7A04" w:rsidRPr="00D71151">
        <w:rPr>
          <w:rFonts w:ascii="Arial" w:eastAsia="Calibri" w:hAnsi="Arial" w:cs="Arial"/>
          <w:sz w:val="20"/>
          <w:szCs w:val="20"/>
          <w:lang w:val="en-US"/>
        </w:rPr>
        <w:t>SEAP</w:t>
      </w:r>
      <w:r w:rsidRPr="00D71151">
        <w:rPr>
          <w:rFonts w:ascii="Arial" w:eastAsia="Calibri" w:hAnsi="Arial" w:cs="Arial"/>
          <w:sz w:val="20"/>
          <w:szCs w:val="20"/>
          <w:lang w:val="en-US"/>
        </w:rPr>
        <w:t xml:space="preserve"> addresses MIMIP Stakeholder Engagement over the next 12 months based on the current workplan</w:t>
      </w:r>
      <w:r w:rsidR="00961256" w:rsidRPr="00D71151">
        <w:rPr>
          <w:rFonts w:ascii="Arial" w:eastAsia="Calibri" w:hAnsi="Arial" w:cs="Arial"/>
          <w:sz w:val="20"/>
          <w:szCs w:val="20"/>
          <w:lang w:val="en-US"/>
        </w:rPr>
        <w:t>.</w:t>
      </w:r>
    </w:p>
    <w:p w14:paraId="66FC2846" w14:textId="5AA31301" w:rsidR="00E45E38" w:rsidRPr="00F24700" w:rsidRDefault="00E45E38" w:rsidP="00D71151">
      <w:pPr>
        <w:pStyle w:val="Heading2"/>
      </w:pPr>
      <w:bookmarkStart w:id="9" w:name="_Toc98072622"/>
      <w:r w:rsidRPr="00F24700">
        <w:t xml:space="preserve">MIMIP Workplan </w:t>
      </w:r>
      <w:r w:rsidR="00A55C55" w:rsidRPr="00F24700">
        <w:t>20</w:t>
      </w:r>
      <w:r w:rsidR="00A55C55">
        <w:t>21</w:t>
      </w:r>
      <w:r w:rsidR="00A55C55" w:rsidRPr="00F24700">
        <w:t xml:space="preserve"> </w:t>
      </w:r>
      <w:r w:rsidRPr="00F24700">
        <w:t xml:space="preserve">- </w:t>
      </w:r>
      <w:r w:rsidR="00A55C55" w:rsidRPr="00F24700">
        <w:t>20</w:t>
      </w:r>
      <w:r w:rsidR="00A55C55">
        <w:t>22</w:t>
      </w:r>
      <w:bookmarkEnd w:id="9"/>
    </w:p>
    <w:p w14:paraId="66C37254" w14:textId="58DC0AF7" w:rsidR="00B26374" w:rsidRDefault="00B26374" w:rsidP="00961256">
      <w:pPr>
        <w:ind w:right="-589"/>
        <w:rPr>
          <w:rFonts w:eastAsia="Calibri" w:cs="Times New Roman"/>
          <w:lang w:val="en-US"/>
        </w:rPr>
      </w:pPr>
      <w:r>
        <w:rPr>
          <w:rFonts w:eastAsia="Calibri" w:cs="Times New Roman"/>
          <w:lang w:val="en-US"/>
        </w:rPr>
        <w:t xml:space="preserve">The </w:t>
      </w:r>
      <w:r w:rsidR="00FA344A">
        <w:rPr>
          <w:rFonts w:eastAsia="Calibri" w:cs="Times New Roman"/>
          <w:lang w:val="en-US"/>
        </w:rPr>
        <w:t xml:space="preserve">following </w:t>
      </w:r>
      <w:r w:rsidR="00C06502">
        <w:rPr>
          <w:rFonts w:eastAsia="Calibri" w:cs="Times New Roman"/>
          <w:lang w:val="en-US"/>
        </w:rPr>
        <w:t xml:space="preserve">safeguards </w:t>
      </w:r>
      <w:r w:rsidR="00FA344A">
        <w:rPr>
          <w:rFonts w:eastAsia="Calibri" w:cs="Times New Roman"/>
          <w:lang w:val="en-US"/>
        </w:rPr>
        <w:t xml:space="preserve">activities </w:t>
      </w:r>
      <w:r w:rsidR="00E123CE">
        <w:rPr>
          <w:rFonts w:eastAsia="Calibri" w:cs="Times New Roman"/>
          <w:lang w:val="en-US"/>
        </w:rPr>
        <w:t xml:space="preserve">are </w:t>
      </w:r>
      <w:r w:rsidR="00FA344A">
        <w:rPr>
          <w:rFonts w:eastAsia="Calibri" w:cs="Times New Roman"/>
          <w:lang w:val="en-US"/>
        </w:rPr>
        <w:t xml:space="preserve">to be undertaken over the period </w:t>
      </w:r>
      <w:r w:rsidR="00100340">
        <w:rPr>
          <w:rFonts w:eastAsia="Calibri" w:cs="Times New Roman"/>
          <w:lang w:val="en-US"/>
        </w:rPr>
        <w:t>April 202</w:t>
      </w:r>
      <w:r w:rsidR="00BD77D7">
        <w:rPr>
          <w:rFonts w:eastAsia="Calibri" w:cs="Times New Roman"/>
          <w:lang w:val="en-US"/>
        </w:rPr>
        <w:t>2</w:t>
      </w:r>
      <w:r w:rsidR="00FA344A">
        <w:rPr>
          <w:rFonts w:eastAsia="Calibri" w:cs="Times New Roman"/>
          <w:lang w:val="en-US"/>
        </w:rPr>
        <w:t xml:space="preserve"> to </w:t>
      </w:r>
      <w:r w:rsidR="00100340">
        <w:rPr>
          <w:rFonts w:eastAsia="Calibri" w:cs="Times New Roman"/>
          <w:lang w:val="en-US"/>
        </w:rPr>
        <w:t>April 202</w:t>
      </w:r>
      <w:r w:rsidR="00BD77D7">
        <w:rPr>
          <w:rFonts w:eastAsia="Calibri" w:cs="Times New Roman"/>
          <w:lang w:val="en-US"/>
        </w:rPr>
        <w:t>3</w:t>
      </w:r>
      <w:r w:rsidR="00FA344A">
        <w:rPr>
          <w:rFonts w:eastAsia="Calibri" w:cs="Times New Roman"/>
          <w:lang w:val="en-US"/>
        </w:rPr>
        <w:t>:</w:t>
      </w:r>
    </w:p>
    <w:p w14:paraId="0A1D2053" w14:textId="5C0B2670" w:rsidR="00A30753" w:rsidRPr="00D71151" w:rsidRDefault="00A30753" w:rsidP="00961256">
      <w:pPr>
        <w:pStyle w:val="ListParagraph"/>
        <w:numPr>
          <w:ilvl w:val="0"/>
          <w:numId w:val="4"/>
        </w:numPr>
        <w:spacing w:after="60"/>
        <w:ind w:left="426" w:right="521"/>
        <w:contextualSpacing w:val="0"/>
        <w:jc w:val="left"/>
        <w:rPr>
          <w:rFonts w:ascii="Arial" w:eastAsia="Calibri" w:hAnsi="Arial" w:cs="Arial"/>
          <w:sz w:val="20"/>
          <w:szCs w:val="20"/>
          <w:lang w:val="en-US"/>
        </w:rPr>
      </w:pPr>
      <w:bookmarkStart w:id="10" w:name="_Hlk45629022"/>
      <w:r w:rsidRPr="00D71151">
        <w:rPr>
          <w:rFonts w:ascii="Arial" w:eastAsia="Calibri" w:hAnsi="Arial" w:cs="Arial"/>
          <w:sz w:val="20"/>
          <w:szCs w:val="20"/>
          <w:lang w:val="en-US"/>
        </w:rPr>
        <w:t xml:space="preserve">GRM Operationalization </w:t>
      </w:r>
    </w:p>
    <w:p w14:paraId="4D10039C" w14:textId="2040205F" w:rsidR="00A30753" w:rsidRPr="00D71151" w:rsidRDefault="00FA344A" w:rsidP="00961256">
      <w:pPr>
        <w:pStyle w:val="ListParagraph"/>
        <w:numPr>
          <w:ilvl w:val="0"/>
          <w:numId w:val="4"/>
        </w:numPr>
        <w:spacing w:after="60"/>
        <w:ind w:left="426" w:right="521"/>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Address feasibility of scrap material removal from Delap Dock</w:t>
      </w:r>
      <w:r w:rsidRPr="00D71151">
        <w:rPr>
          <w:rStyle w:val="FootnoteReference"/>
          <w:rFonts w:ascii="Arial" w:eastAsia="Calibri" w:hAnsi="Arial" w:cs="Arial"/>
          <w:sz w:val="20"/>
          <w:szCs w:val="20"/>
          <w:lang w:val="en-US"/>
        </w:rPr>
        <w:footnoteReference w:id="2"/>
      </w:r>
      <w:r w:rsidR="00A30753" w:rsidRPr="00D71151">
        <w:rPr>
          <w:rFonts w:ascii="Arial" w:eastAsia="Calibri" w:hAnsi="Arial" w:cs="Arial"/>
          <w:sz w:val="20"/>
          <w:szCs w:val="20"/>
          <w:lang w:val="en-US"/>
        </w:rPr>
        <w:t>.</w:t>
      </w:r>
    </w:p>
    <w:p w14:paraId="74F5683D" w14:textId="23D860E3" w:rsidR="00B26374" w:rsidRPr="00D71151" w:rsidRDefault="00B26374" w:rsidP="00961256">
      <w:pPr>
        <w:pStyle w:val="ListParagraph"/>
        <w:numPr>
          <w:ilvl w:val="0"/>
          <w:numId w:val="4"/>
        </w:numPr>
        <w:spacing w:after="60"/>
        <w:ind w:left="426" w:right="521"/>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 xml:space="preserve">No physical works are programmed </w:t>
      </w:r>
      <w:r w:rsidR="00A55C55" w:rsidRPr="00D71151">
        <w:rPr>
          <w:rFonts w:ascii="Arial" w:eastAsia="Calibri" w:hAnsi="Arial" w:cs="Arial"/>
          <w:sz w:val="20"/>
          <w:szCs w:val="20"/>
          <w:lang w:val="en-US"/>
        </w:rPr>
        <w:t>prior to April 202</w:t>
      </w:r>
      <w:r w:rsidR="00C06502">
        <w:rPr>
          <w:rFonts w:ascii="Arial" w:eastAsia="Calibri" w:hAnsi="Arial" w:cs="Arial"/>
          <w:sz w:val="20"/>
          <w:szCs w:val="20"/>
          <w:lang w:val="en-US"/>
        </w:rPr>
        <w:t>3</w:t>
      </w:r>
    </w:p>
    <w:p w14:paraId="1F209821" w14:textId="6E6FE636" w:rsidR="00B26374" w:rsidRPr="00D71151" w:rsidRDefault="004B7A04" w:rsidP="00961256">
      <w:pPr>
        <w:pStyle w:val="ListParagraph"/>
        <w:numPr>
          <w:ilvl w:val="0"/>
          <w:numId w:val="4"/>
        </w:numPr>
        <w:spacing w:after="60"/>
        <w:ind w:left="426" w:right="521"/>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 xml:space="preserve">Some equipment might be purchased </w:t>
      </w:r>
      <w:r w:rsidR="00B26374" w:rsidRPr="00D71151">
        <w:rPr>
          <w:rFonts w:ascii="Arial" w:eastAsia="Calibri" w:hAnsi="Arial" w:cs="Arial"/>
          <w:sz w:val="20"/>
          <w:szCs w:val="20"/>
          <w:lang w:val="en-US"/>
        </w:rPr>
        <w:t xml:space="preserve">in </w:t>
      </w:r>
      <w:r w:rsidR="00A55C55" w:rsidRPr="00D71151">
        <w:rPr>
          <w:rFonts w:ascii="Arial" w:eastAsia="Calibri" w:hAnsi="Arial" w:cs="Arial"/>
          <w:sz w:val="20"/>
          <w:szCs w:val="20"/>
          <w:lang w:val="en-US"/>
        </w:rPr>
        <w:t xml:space="preserve">late </w:t>
      </w:r>
      <w:r w:rsidR="00FA344A" w:rsidRPr="00D71151">
        <w:rPr>
          <w:rFonts w:ascii="Arial" w:eastAsia="Calibri" w:hAnsi="Arial" w:cs="Arial"/>
          <w:sz w:val="20"/>
          <w:szCs w:val="20"/>
          <w:lang w:val="en-US"/>
        </w:rPr>
        <w:t>202</w:t>
      </w:r>
      <w:r w:rsidR="00C06502">
        <w:rPr>
          <w:rFonts w:ascii="Arial" w:eastAsia="Calibri" w:hAnsi="Arial" w:cs="Arial"/>
          <w:sz w:val="20"/>
          <w:szCs w:val="20"/>
          <w:lang w:val="en-US"/>
        </w:rPr>
        <w:t>2</w:t>
      </w:r>
      <w:r w:rsidR="00FA344A" w:rsidRPr="00D71151">
        <w:rPr>
          <w:rFonts w:ascii="Arial" w:eastAsia="Calibri" w:hAnsi="Arial" w:cs="Arial"/>
          <w:sz w:val="20"/>
          <w:szCs w:val="20"/>
          <w:lang w:val="en-US"/>
        </w:rPr>
        <w:t xml:space="preserve"> </w:t>
      </w:r>
      <w:r w:rsidRPr="00D71151">
        <w:rPr>
          <w:rFonts w:ascii="Arial" w:eastAsia="Calibri" w:hAnsi="Arial" w:cs="Arial"/>
          <w:sz w:val="20"/>
          <w:szCs w:val="20"/>
          <w:lang w:val="en-US"/>
        </w:rPr>
        <w:t>at the earliest.</w:t>
      </w:r>
    </w:p>
    <w:p w14:paraId="3FB85050" w14:textId="71A84F87" w:rsidR="004B7A04" w:rsidRPr="00D71151" w:rsidRDefault="00B26374" w:rsidP="00961256">
      <w:pPr>
        <w:pStyle w:val="ListParagraph"/>
        <w:numPr>
          <w:ilvl w:val="0"/>
          <w:numId w:val="4"/>
        </w:numPr>
        <w:spacing w:after="60"/>
        <w:ind w:left="426" w:right="521"/>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 xml:space="preserve">The Ports Needs Assessment consultancy </w:t>
      </w:r>
      <w:r w:rsidR="00C06502">
        <w:rPr>
          <w:rFonts w:ascii="Arial" w:eastAsia="Calibri" w:hAnsi="Arial" w:cs="Arial"/>
          <w:sz w:val="20"/>
          <w:szCs w:val="20"/>
          <w:lang w:val="en-US"/>
        </w:rPr>
        <w:t xml:space="preserve">was </w:t>
      </w:r>
      <w:r w:rsidR="00BD77D7">
        <w:rPr>
          <w:rFonts w:ascii="Arial" w:eastAsia="Calibri" w:hAnsi="Arial" w:cs="Arial"/>
          <w:sz w:val="20"/>
          <w:szCs w:val="20"/>
          <w:lang w:val="en-US"/>
        </w:rPr>
        <w:t>completed in March 2022</w:t>
      </w:r>
      <w:r w:rsidRPr="00D71151">
        <w:rPr>
          <w:rFonts w:ascii="Arial" w:eastAsia="Calibri" w:hAnsi="Arial" w:cs="Arial"/>
          <w:sz w:val="20"/>
          <w:szCs w:val="20"/>
          <w:lang w:val="en-US"/>
        </w:rPr>
        <w:t xml:space="preserve">. </w:t>
      </w:r>
      <w:r w:rsidR="004B7A04" w:rsidRPr="00D71151">
        <w:rPr>
          <w:rFonts w:ascii="Arial" w:eastAsia="Calibri" w:hAnsi="Arial" w:cs="Arial"/>
          <w:sz w:val="20"/>
          <w:szCs w:val="20"/>
          <w:lang w:val="en-US"/>
        </w:rPr>
        <w:t xml:space="preserve">This will </w:t>
      </w:r>
      <w:r w:rsidRPr="00D71151">
        <w:rPr>
          <w:rFonts w:ascii="Arial" w:eastAsia="Calibri" w:hAnsi="Arial" w:cs="Arial"/>
          <w:sz w:val="20"/>
          <w:szCs w:val="20"/>
          <w:lang w:val="en-US"/>
        </w:rPr>
        <w:t xml:space="preserve">involve </w:t>
      </w:r>
      <w:r w:rsidR="00A55C55" w:rsidRPr="00D71151">
        <w:rPr>
          <w:rFonts w:ascii="Arial" w:eastAsia="Calibri" w:hAnsi="Arial" w:cs="Arial"/>
          <w:sz w:val="20"/>
          <w:szCs w:val="20"/>
          <w:lang w:val="en-US"/>
        </w:rPr>
        <w:t>consideration</w:t>
      </w:r>
      <w:r w:rsidR="008E753F" w:rsidRPr="00D71151">
        <w:rPr>
          <w:rFonts w:ascii="Arial" w:eastAsia="Calibri" w:hAnsi="Arial" w:cs="Arial"/>
          <w:sz w:val="20"/>
          <w:szCs w:val="20"/>
          <w:lang w:val="en-US"/>
        </w:rPr>
        <w:t xml:space="preserve"> of</w:t>
      </w:r>
      <w:r w:rsidRPr="00D71151">
        <w:rPr>
          <w:rFonts w:ascii="Arial" w:eastAsia="Calibri" w:hAnsi="Arial" w:cs="Arial"/>
          <w:sz w:val="20"/>
          <w:szCs w:val="20"/>
          <w:lang w:val="en-US"/>
        </w:rPr>
        <w:t xml:space="preserve"> all sites. </w:t>
      </w:r>
    </w:p>
    <w:p w14:paraId="4078EC3A" w14:textId="3E3B0CB1" w:rsidR="00B26374" w:rsidRPr="00D71151" w:rsidRDefault="004B7A04" w:rsidP="00961256">
      <w:pPr>
        <w:pStyle w:val="ListParagraph"/>
        <w:numPr>
          <w:ilvl w:val="0"/>
          <w:numId w:val="4"/>
        </w:numPr>
        <w:spacing w:after="60"/>
        <w:ind w:left="426" w:right="521"/>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T</w:t>
      </w:r>
      <w:r w:rsidR="00B26374" w:rsidRPr="00D71151">
        <w:rPr>
          <w:rFonts w:ascii="Arial" w:eastAsia="Calibri" w:hAnsi="Arial" w:cs="Arial"/>
          <w:sz w:val="20"/>
          <w:szCs w:val="20"/>
          <w:lang w:val="en-US"/>
        </w:rPr>
        <w:t xml:space="preserve">he Ports Strategic Development Planning consultancy work </w:t>
      </w:r>
      <w:r w:rsidR="00227885">
        <w:rPr>
          <w:rFonts w:ascii="Arial" w:eastAsia="Calibri" w:hAnsi="Arial" w:cs="Arial"/>
          <w:sz w:val="20"/>
          <w:szCs w:val="20"/>
          <w:lang w:val="en-US"/>
        </w:rPr>
        <w:t>underway</w:t>
      </w:r>
      <w:r w:rsidR="00B26374" w:rsidRPr="00D71151">
        <w:rPr>
          <w:rFonts w:ascii="Arial" w:eastAsia="Calibri" w:hAnsi="Arial" w:cs="Arial"/>
          <w:sz w:val="20"/>
          <w:szCs w:val="20"/>
          <w:lang w:val="en-US"/>
        </w:rPr>
        <w:t>.</w:t>
      </w:r>
    </w:p>
    <w:p w14:paraId="660782C0" w14:textId="2D32B23D" w:rsidR="000344CB" w:rsidRPr="00D71151" w:rsidRDefault="004B7A04" w:rsidP="00961256">
      <w:pPr>
        <w:pStyle w:val="ListParagraph"/>
        <w:numPr>
          <w:ilvl w:val="0"/>
          <w:numId w:val="4"/>
        </w:numPr>
        <w:spacing w:after="120"/>
        <w:ind w:left="425" w:right="522" w:hanging="357"/>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 xml:space="preserve">Items under Component </w:t>
      </w:r>
      <w:r w:rsidR="00B26374" w:rsidRPr="00D71151">
        <w:rPr>
          <w:rFonts w:ascii="Arial" w:eastAsia="Calibri" w:hAnsi="Arial" w:cs="Arial"/>
          <w:sz w:val="20"/>
          <w:szCs w:val="20"/>
          <w:lang w:val="en-US"/>
        </w:rPr>
        <w:t xml:space="preserve">2.4e </w:t>
      </w:r>
      <w:r w:rsidRPr="00D71151">
        <w:rPr>
          <w:rFonts w:ascii="Arial" w:eastAsia="Calibri" w:hAnsi="Arial" w:cs="Arial"/>
          <w:sz w:val="20"/>
          <w:szCs w:val="20"/>
          <w:lang w:val="en-US"/>
        </w:rPr>
        <w:t>are currently proceeding</w:t>
      </w:r>
      <w:r w:rsidR="000344CB" w:rsidRPr="00D71151">
        <w:rPr>
          <w:rFonts w:ascii="Arial" w:eastAsia="Calibri" w:hAnsi="Arial" w:cs="Arial"/>
          <w:sz w:val="20"/>
          <w:szCs w:val="20"/>
          <w:lang w:val="en-US"/>
        </w:rPr>
        <w:t>. Th</w:t>
      </w:r>
      <w:r w:rsidR="00697E78" w:rsidRPr="00D71151">
        <w:rPr>
          <w:rFonts w:ascii="Arial" w:eastAsia="Calibri" w:hAnsi="Arial" w:cs="Arial"/>
          <w:sz w:val="20"/>
          <w:szCs w:val="20"/>
          <w:lang w:val="en-US"/>
        </w:rPr>
        <w:t>ese</w:t>
      </w:r>
      <w:r w:rsidR="000344CB" w:rsidRPr="00D71151">
        <w:rPr>
          <w:rFonts w:ascii="Arial" w:eastAsia="Calibri" w:hAnsi="Arial" w:cs="Arial"/>
          <w:sz w:val="20"/>
          <w:szCs w:val="20"/>
          <w:lang w:val="en-US"/>
        </w:rPr>
        <w:t xml:space="preserve"> involve </w:t>
      </w:r>
      <w:bookmarkStart w:id="11" w:name="bookmark0"/>
      <w:bookmarkEnd w:id="11"/>
      <w:r w:rsidR="000344CB" w:rsidRPr="00D71151">
        <w:rPr>
          <w:rFonts w:ascii="Arial" w:eastAsia="Calibri" w:hAnsi="Arial" w:cs="Arial"/>
          <w:sz w:val="20"/>
          <w:szCs w:val="20"/>
          <w:lang w:val="en-US"/>
        </w:rPr>
        <w:t xml:space="preserve">supporting and elevating awareness and prevention of human trafficking and GBV by: </w:t>
      </w:r>
    </w:p>
    <w:p w14:paraId="4D78D37B" w14:textId="70479AC5" w:rsidR="000344CB" w:rsidRPr="00D71151" w:rsidRDefault="00447F95" w:rsidP="00D71151">
      <w:pPr>
        <w:pStyle w:val="ListParagraph"/>
        <w:numPr>
          <w:ilvl w:val="0"/>
          <w:numId w:val="22"/>
        </w:numPr>
        <w:spacing w:after="0"/>
        <w:ind w:left="851" w:hanging="284"/>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 xml:space="preserve">Conducting </w:t>
      </w:r>
      <w:r w:rsidR="000344CB" w:rsidRPr="00D71151">
        <w:rPr>
          <w:rFonts w:ascii="Arial" w:eastAsia="Calibri" w:hAnsi="Arial" w:cs="Arial"/>
          <w:sz w:val="20"/>
          <w:szCs w:val="20"/>
          <w:lang w:val="en-US"/>
        </w:rPr>
        <w:t xml:space="preserve">a needs assessment on trafficking and GBV to identify the availability of services </w:t>
      </w:r>
    </w:p>
    <w:p w14:paraId="10C402FB" w14:textId="0609772C" w:rsidR="000344CB" w:rsidRPr="00D71151" w:rsidRDefault="00447F95" w:rsidP="00D71151">
      <w:pPr>
        <w:pStyle w:val="ListParagraph"/>
        <w:numPr>
          <w:ilvl w:val="0"/>
          <w:numId w:val="22"/>
        </w:numPr>
        <w:spacing w:after="0"/>
        <w:ind w:left="851" w:hanging="284"/>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 xml:space="preserve">Conducting </w:t>
      </w:r>
      <w:r w:rsidR="000344CB" w:rsidRPr="00D71151">
        <w:rPr>
          <w:rFonts w:ascii="Arial" w:eastAsia="Calibri" w:hAnsi="Arial" w:cs="Arial"/>
          <w:sz w:val="20"/>
          <w:szCs w:val="20"/>
          <w:lang w:val="en-US"/>
        </w:rPr>
        <w:t xml:space="preserve">training activities for workers hired through the Project </w:t>
      </w:r>
    </w:p>
    <w:p w14:paraId="3BBE181F" w14:textId="342D9359" w:rsidR="000344CB" w:rsidRPr="00D71151" w:rsidRDefault="00447F95" w:rsidP="00D71151">
      <w:pPr>
        <w:pStyle w:val="ListParagraph"/>
        <w:numPr>
          <w:ilvl w:val="0"/>
          <w:numId w:val="22"/>
        </w:numPr>
        <w:spacing w:after="0"/>
        <w:ind w:left="851" w:hanging="284"/>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 xml:space="preserve">Conducting </w:t>
      </w:r>
      <w:r w:rsidR="000344CB" w:rsidRPr="00D71151">
        <w:rPr>
          <w:rFonts w:ascii="Arial" w:eastAsia="Calibri" w:hAnsi="Arial" w:cs="Arial"/>
          <w:sz w:val="20"/>
          <w:szCs w:val="20"/>
          <w:lang w:val="en-US"/>
        </w:rPr>
        <w:t>community awareness raising activities</w:t>
      </w:r>
    </w:p>
    <w:p w14:paraId="53FFCC4C" w14:textId="537A984B" w:rsidR="000344CB" w:rsidRPr="00D71151" w:rsidRDefault="00447F95" w:rsidP="00D71151">
      <w:pPr>
        <w:pStyle w:val="ListParagraph"/>
        <w:numPr>
          <w:ilvl w:val="0"/>
          <w:numId w:val="22"/>
        </w:numPr>
        <w:spacing w:after="0"/>
        <w:ind w:left="851" w:hanging="284"/>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 xml:space="preserve">Supporting </w:t>
      </w:r>
      <w:r w:rsidR="000344CB" w:rsidRPr="00D71151">
        <w:rPr>
          <w:rFonts w:ascii="Arial" w:eastAsia="Calibri" w:hAnsi="Arial" w:cs="Arial"/>
          <w:sz w:val="20"/>
          <w:szCs w:val="20"/>
          <w:lang w:val="en-US"/>
        </w:rPr>
        <w:t>survivors of trafficking and GBV through the provision of counselling, healthcare, and appropriately skilled police focal points</w:t>
      </w:r>
      <w:r w:rsidR="00D9013F" w:rsidRPr="00D71151">
        <w:rPr>
          <w:rFonts w:ascii="Arial" w:eastAsia="Calibri" w:hAnsi="Arial" w:cs="Arial"/>
          <w:sz w:val="20"/>
          <w:szCs w:val="20"/>
          <w:lang w:val="en-US"/>
        </w:rPr>
        <w:t xml:space="preserve"> </w:t>
      </w:r>
    </w:p>
    <w:p w14:paraId="32DF7F5E" w14:textId="213162B8" w:rsidR="000344CB" w:rsidRPr="00D71151" w:rsidRDefault="00447F95" w:rsidP="00961256">
      <w:pPr>
        <w:pStyle w:val="ListParagraph"/>
        <w:numPr>
          <w:ilvl w:val="0"/>
          <w:numId w:val="22"/>
        </w:numPr>
        <w:ind w:left="851" w:hanging="284"/>
        <w:contextualSpacing w:val="0"/>
        <w:jc w:val="left"/>
        <w:rPr>
          <w:rFonts w:ascii="Arial" w:eastAsia="Calibri" w:hAnsi="Arial" w:cs="Arial"/>
          <w:sz w:val="20"/>
          <w:szCs w:val="20"/>
          <w:lang w:val="en-US"/>
        </w:rPr>
      </w:pPr>
      <w:r w:rsidRPr="00D71151">
        <w:rPr>
          <w:rFonts w:ascii="Arial" w:eastAsia="Calibri" w:hAnsi="Arial" w:cs="Arial"/>
          <w:sz w:val="20"/>
          <w:szCs w:val="20"/>
          <w:lang w:val="en-US"/>
        </w:rPr>
        <w:t xml:space="preserve">Establishing </w:t>
      </w:r>
      <w:r w:rsidR="000344CB" w:rsidRPr="00D71151">
        <w:rPr>
          <w:rFonts w:ascii="Arial" w:eastAsia="Calibri" w:hAnsi="Arial" w:cs="Arial"/>
          <w:sz w:val="20"/>
          <w:szCs w:val="20"/>
          <w:lang w:val="en-US"/>
        </w:rPr>
        <w:t>a referral pathway for survivors of trafficking and GBV.</w:t>
      </w:r>
    </w:p>
    <w:p w14:paraId="7A0B366C" w14:textId="2D5A6810" w:rsidR="00B26374" w:rsidRPr="00D71151" w:rsidRDefault="00D9013F" w:rsidP="00961256">
      <w:pPr>
        <w:pStyle w:val="ListParagraph"/>
        <w:numPr>
          <w:ilvl w:val="0"/>
          <w:numId w:val="4"/>
        </w:numPr>
        <w:spacing w:after="120"/>
        <w:ind w:left="425" w:hanging="357"/>
        <w:contextualSpacing w:val="0"/>
        <w:rPr>
          <w:rFonts w:ascii="Arial" w:eastAsia="Calibri" w:hAnsi="Arial" w:cs="Arial"/>
          <w:sz w:val="20"/>
          <w:szCs w:val="20"/>
          <w:lang w:val="en-US"/>
        </w:rPr>
      </w:pPr>
      <w:r w:rsidRPr="00D71151">
        <w:rPr>
          <w:rFonts w:ascii="Arial" w:eastAsia="Calibri" w:hAnsi="Arial" w:cs="Arial"/>
          <w:sz w:val="20"/>
          <w:szCs w:val="20"/>
          <w:lang w:val="en-US"/>
        </w:rPr>
        <w:t xml:space="preserve">Items under Component </w:t>
      </w:r>
      <w:r w:rsidR="00B26374" w:rsidRPr="00D71151">
        <w:rPr>
          <w:rFonts w:ascii="Arial" w:eastAsia="Calibri" w:hAnsi="Arial" w:cs="Arial"/>
          <w:sz w:val="20"/>
          <w:szCs w:val="20"/>
          <w:lang w:val="en-US"/>
        </w:rPr>
        <w:t xml:space="preserve">2.4 a, b, c &amp; d </w:t>
      </w:r>
      <w:r w:rsidRPr="00D71151">
        <w:rPr>
          <w:rFonts w:ascii="Arial" w:eastAsia="Calibri" w:hAnsi="Arial" w:cs="Arial"/>
          <w:sz w:val="20"/>
          <w:szCs w:val="20"/>
          <w:lang w:val="en-US"/>
        </w:rPr>
        <w:t xml:space="preserve">will follow </w:t>
      </w:r>
      <w:r w:rsidR="00B26374" w:rsidRPr="00D71151">
        <w:rPr>
          <w:rFonts w:ascii="Arial" w:eastAsia="Calibri" w:hAnsi="Arial" w:cs="Arial"/>
          <w:sz w:val="20"/>
          <w:szCs w:val="20"/>
          <w:lang w:val="en-US"/>
        </w:rPr>
        <w:t xml:space="preserve">Ports Needs Assessment </w:t>
      </w:r>
      <w:r w:rsidRPr="00D71151">
        <w:rPr>
          <w:rFonts w:ascii="Arial" w:eastAsia="Calibri" w:hAnsi="Arial" w:cs="Arial"/>
          <w:sz w:val="20"/>
          <w:szCs w:val="20"/>
          <w:lang w:val="en-US"/>
        </w:rPr>
        <w:t xml:space="preserve">(due for completion </w:t>
      </w:r>
      <w:r w:rsidR="002042A5" w:rsidRPr="00D71151">
        <w:rPr>
          <w:rFonts w:ascii="Arial" w:eastAsia="Calibri" w:hAnsi="Arial" w:cs="Arial"/>
          <w:sz w:val="20"/>
          <w:szCs w:val="20"/>
          <w:lang w:val="en-US"/>
        </w:rPr>
        <w:t>July</w:t>
      </w:r>
      <w:r w:rsidR="00A30753" w:rsidRPr="00D71151">
        <w:rPr>
          <w:rFonts w:ascii="Arial" w:eastAsia="Calibri" w:hAnsi="Arial" w:cs="Arial"/>
          <w:sz w:val="20"/>
          <w:szCs w:val="20"/>
          <w:lang w:val="en-US"/>
        </w:rPr>
        <w:t xml:space="preserve"> 2021).  These items are</w:t>
      </w:r>
      <w:r w:rsidR="00B26374" w:rsidRPr="00D71151">
        <w:rPr>
          <w:rFonts w:ascii="Arial" w:eastAsia="Calibri" w:hAnsi="Arial" w:cs="Arial"/>
          <w:sz w:val="20"/>
          <w:szCs w:val="20"/>
          <w:lang w:val="en-US"/>
        </w:rPr>
        <w:t> </w:t>
      </w:r>
    </w:p>
    <w:p w14:paraId="6E025391" w14:textId="5D67F558" w:rsidR="00D9013F" w:rsidRPr="00D71151" w:rsidRDefault="00D9013F" w:rsidP="00D71151">
      <w:pPr>
        <w:pStyle w:val="Default"/>
        <w:numPr>
          <w:ilvl w:val="1"/>
          <w:numId w:val="6"/>
        </w:numPr>
        <w:ind w:left="850" w:hanging="357"/>
        <w:rPr>
          <w:rFonts w:ascii="Arial" w:hAnsi="Arial" w:cs="Arial"/>
          <w:sz w:val="20"/>
          <w:szCs w:val="20"/>
        </w:rPr>
      </w:pPr>
      <w:r w:rsidRPr="00D71151">
        <w:rPr>
          <w:rFonts w:ascii="Arial" w:hAnsi="Arial" w:cs="Arial"/>
          <w:sz w:val="20"/>
          <w:szCs w:val="20"/>
        </w:rPr>
        <w:t xml:space="preserve">Provide back-up generators for Delap Dock and Ebeye Matson Container Dock. </w:t>
      </w:r>
      <w:r w:rsidR="002042A5" w:rsidRPr="00D71151">
        <w:rPr>
          <w:rFonts w:ascii="Arial" w:hAnsi="Arial" w:cs="Arial"/>
          <w:sz w:val="20"/>
          <w:szCs w:val="20"/>
        </w:rPr>
        <w:t>(August 202</w:t>
      </w:r>
      <w:r w:rsidR="00227885">
        <w:rPr>
          <w:rFonts w:ascii="Arial" w:hAnsi="Arial" w:cs="Arial"/>
          <w:sz w:val="20"/>
          <w:szCs w:val="20"/>
        </w:rPr>
        <w:t>2</w:t>
      </w:r>
      <w:r w:rsidR="002042A5" w:rsidRPr="00D71151">
        <w:rPr>
          <w:rFonts w:ascii="Arial" w:hAnsi="Arial" w:cs="Arial"/>
          <w:sz w:val="20"/>
          <w:szCs w:val="20"/>
        </w:rPr>
        <w:t>-June 202</w:t>
      </w:r>
      <w:r w:rsidR="00227885">
        <w:rPr>
          <w:rFonts w:ascii="Arial" w:hAnsi="Arial" w:cs="Arial"/>
          <w:sz w:val="20"/>
          <w:szCs w:val="20"/>
        </w:rPr>
        <w:t>3</w:t>
      </w:r>
      <w:r w:rsidR="002042A5" w:rsidRPr="00D71151">
        <w:rPr>
          <w:rFonts w:ascii="Arial" w:hAnsi="Arial" w:cs="Arial"/>
          <w:sz w:val="20"/>
          <w:szCs w:val="20"/>
        </w:rPr>
        <w:t>)</w:t>
      </w:r>
    </w:p>
    <w:bookmarkEnd w:id="10"/>
    <w:p w14:paraId="6EF2B7DF" w14:textId="77777777" w:rsidR="00227885" w:rsidRDefault="00227885" w:rsidP="00D71151">
      <w:pPr>
        <w:spacing w:after="120"/>
        <w:ind w:right="-589"/>
        <w:rPr>
          <w:rFonts w:ascii="Arial" w:eastAsia="Calibri" w:hAnsi="Arial" w:cs="Arial"/>
          <w:sz w:val="20"/>
          <w:szCs w:val="20"/>
          <w:lang w:val="en-US"/>
        </w:rPr>
      </w:pPr>
    </w:p>
    <w:p w14:paraId="51C76E8E" w14:textId="52BB1A74" w:rsidR="00E45E38" w:rsidRPr="00D71151" w:rsidRDefault="0082727F" w:rsidP="00D71151">
      <w:pPr>
        <w:spacing w:after="120"/>
        <w:ind w:right="-589"/>
        <w:rPr>
          <w:rFonts w:ascii="Arial" w:eastAsia="Calibri" w:hAnsi="Arial" w:cs="Arial"/>
          <w:sz w:val="20"/>
          <w:szCs w:val="20"/>
          <w:lang w:val="en-US"/>
        </w:rPr>
      </w:pPr>
      <w:r w:rsidRPr="00D71151">
        <w:rPr>
          <w:rFonts w:ascii="Arial" w:eastAsia="Calibri" w:hAnsi="Arial" w:cs="Arial"/>
          <w:sz w:val="20"/>
          <w:szCs w:val="20"/>
          <w:lang w:val="en-US"/>
        </w:rPr>
        <w:t xml:space="preserve">Other activities including those set out below are anticipated to commence later than </w:t>
      </w:r>
      <w:r w:rsidR="002042A5" w:rsidRPr="00D71151">
        <w:rPr>
          <w:rFonts w:ascii="Arial" w:eastAsia="Calibri" w:hAnsi="Arial" w:cs="Arial"/>
          <w:sz w:val="20"/>
          <w:szCs w:val="20"/>
          <w:lang w:val="en-US"/>
        </w:rPr>
        <w:t>April 2022</w:t>
      </w:r>
      <w:r w:rsidRPr="00D71151">
        <w:rPr>
          <w:rFonts w:ascii="Arial" w:eastAsia="Calibri" w:hAnsi="Arial" w:cs="Arial"/>
          <w:sz w:val="20"/>
          <w:szCs w:val="20"/>
          <w:lang w:val="en-US"/>
        </w:rPr>
        <w:t xml:space="preserve"> and are not addressed </w:t>
      </w:r>
      <w:r w:rsidR="00447F95" w:rsidRPr="00D71151">
        <w:rPr>
          <w:rFonts w:ascii="Arial" w:eastAsia="Calibri" w:hAnsi="Arial" w:cs="Arial"/>
          <w:sz w:val="20"/>
          <w:szCs w:val="20"/>
          <w:lang w:val="en-US"/>
        </w:rPr>
        <w:t>i</w:t>
      </w:r>
      <w:r w:rsidRPr="00D71151">
        <w:rPr>
          <w:rFonts w:ascii="Arial" w:eastAsia="Calibri" w:hAnsi="Arial" w:cs="Arial"/>
          <w:sz w:val="20"/>
          <w:szCs w:val="20"/>
          <w:lang w:val="en-US"/>
        </w:rPr>
        <w:t>n this SEAP:</w:t>
      </w:r>
    </w:p>
    <w:p w14:paraId="7AEF4975" w14:textId="77777777" w:rsidR="0082727F" w:rsidRPr="00D71151" w:rsidRDefault="0082727F" w:rsidP="00D71151">
      <w:pPr>
        <w:pStyle w:val="CommentText"/>
        <w:numPr>
          <w:ilvl w:val="0"/>
          <w:numId w:val="13"/>
        </w:numPr>
        <w:spacing w:after="0"/>
        <w:ind w:left="850" w:hanging="425"/>
        <w:rPr>
          <w:rFonts w:ascii="Arial" w:hAnsi="Arial" w:cs="Arial"/>
        </w:rPr>
      </w:pPr>
      <w:r w:rsidRPr="00D71151">
        <w:rPr>
          <w:rFonts w:ascii="Arial" w:hAnsi="Arial" w:cs="Arial"/>
          <w:i/>
          <w:iCs/>
        </w:rPr>
        <w:t xml:space="preserve">2.2 Compliance with ISPS Requirements. </w:t>
      </w:r>
      <w:r w:rsidRPr="00D71151">
        <w:rPr>
          <w:rFonts w:ascii="Arial" w:hAnsi="Arial" w:cs="Arial"/>
        </w:rPr>
        <w:t>Repair, upgrade or provide fencing, gates, lighting, back-up generators and CCTV systems to comply with ISPS requirements</w:t>
      </w:r>
    </w:p>
    <w:p w14:paraId="48E1F548" w14:textId="48F32EE0" w:rsidR="0082727F" w:rsidRPr="00D71151" w:rsidRDefault="0082727F" w:rsidP="00D71151">
      <w:pPr>
        <w:pStyle w:val="CommentText"/>
        <w:numPr>
          <w:ilvl w:val="0"/>
          <w:numId w:val="13"/>
        </w:numPr>
        <w:spacing w:after="0"/>
        <w:ind w:left="850" w:hanging="425"/>
        <w:contextualSpacing/>
        <w:rPr>
          <w:rFonts w:ascii="Arial" w:hAnsi="Arial" w:cs="Arial"/>
        </w:rPr>
      </w:pPr>
      <w:r w:rsidRPr="00D71151">
        <w:rPr>
          <w:rFonts w:ascii="Arial" w:hAnsi="Arial" w:cs="Arial"/>
        </w:rPr>
        <w:t xml:space="preserve">Component 2.3 - Replace/upgrade AtoNs at </w:t>
      </w:r>
      <w:r w:rsidR="002042A5" w:rsidRPr="00D71151">
        <w:rPr>
          <w:rFonts w:ascii="Arial" w:hAnsi="Arial" w:cs="Arial"/>
        </w:rPr>
        <w:t xml:space="preserve">MIMIP </w:t>
      </w:r>
      <w:r w:rsidRPr="00D71151">
        <w:rPr>
          <w:rFonts w:ascii="Arial" w:hAnsi="Arial" w:cs="Arial"/>
        </w:rPr>
        <w:t xml:space="preserve">ports as identified in the safety and security part of the needs assessment? </w:t>
      </w:r>
    </w:p>
    <w:p w14:paraId="234A22EF" w14:textId="345A2111" w:rsidR="0033022C" w:rsidRPr="008E753F" w:rsidRDefault="0082727F" w:rsidP="00D71151">
      <w:pPr>
        <w:pStyle w:val="CommentText"/>
        <w:numPr>
          <w:ilvl w:val="0"/>
          <w:numId w:val="13"/>
        </w:numPr>
        <w:spacing w:after="0"/>
        <w:ind w:left="850" w:hanging="425"/>
        <w:contextualSpacing/>
        <w:rPr>
          <w:rFonts w:eastAsia="Times New Roman" w:cs="Times New Roman"/>
          <w:bCs/>
          <w:sz w:val="28"/>
          <w:lang w:val="en-US"/>
        </w:rPr>
      </w:pPr>
      <w:r w:rsidRPr="00D71151">
        <w:rPr>
          <w:rFonts w:ascii="Arial" w:hAnsi="Arial" w:cs="Arial"/>
          <w:i/>
          <w:iCs/>
        </w:rPr>
        <w:t xml:space="preserve">3.5 Capacity Building Initiatives. </w:t>
      </w:r>
      <w:r w:rsidRPr="00D71151">
        <w:rPr>
          <w:rFonts w:ascii="Arial" w:hAnsi="Arial" w:cs="Arial"/>
        </w:rPr>
        <w:t>To better operate and regulate the sector (SAR awareness, ISPS training, use of spill kits &amp; booms, etc.)</w:t>
      </w:r>
      <w:r w:rsidR="0033022C" w:rsidRPr="008E753F">
        <w:rPr>
          <w:rFonts w:eastAsia="Calibri" w:cs="Times New Roman"/>
          <w:lang w:val="en-US"/>
        </w:rPr>
        <w:br w:type="page"/>
      </w:r>
    </w:p>
    <w:p w14:paraId="6E2ADD8C" w14:textId="423BBF99" w:rsidR="0033022C" w:rsidRPr="005F5C71" w:rsidRDefault="0033022C" w:rsidP="00D71151">
      <w:pPr>
        <w:pStyle w:val="Heading1"/>
      </w:pPr>
      <w:bookmarkStart w:id="12" w:name="_Toc98072623"/>
      <w:bookmarkStart w:id="13" w:name="_Toc533615247"/>
      <w:r w:rsidRPr="005F5C71">
        <w:lastRenderedPageBreak/>
        <w:t xml:space="preserve">Implementation of </w:t>
      </w:r>
      <w:r w:rsidR="00697E78">
        <w:t xml:space="preserve">Stakeholder Engagement </w:t>
      </w:r>
      <w:r w:rsidR="00697E78" w:rsidRPr="005F5C71">
        <w:t>Action Plan</w:t>
      </w:r>
      <w:bookmarkEnd w:id="12"/>
      <w:r w:rsidR="00697E78" w:rsidRPr="005F5C71">
        <w:t xml:space="preserve"> </w:t>
      </w:r>
      <w:bookmarkEnd w:id="13"/>
    </w:p>
    <w:p w14:paraId="7D8242EF" w14:textId="1684AD2D" w:rsidR="0033022C" w:rsidRPr="005F5C71" w:rsidRDefault="0033022C" w:rsidP="00D71151">
      <w:pPr>
        <w:pStyle w:val="Heading2"/>
      </w:pPr>
      <w:bookmarkStart w:id="14" w:name="_Toc533615248"/>
      <w:bookmarkStart w:id="15" w:name="_Toc98072624"/>
      <w:r w:rsidRPr="005F5C71">
        <w:t>Roles and responsibilities</w:t>
      </w:r>
      <w:bookmarkEnd w:id="14"/>
      <w:bookmarkEnd w:id="15"/>
      <w:r w:rsidRPr="005F5C71">
        <w:t xml:space="preserve"> </w:t>
      </w:r>
    </w:p>
    <w:p w14:paraId="2F2B9927" w14:textId="1863036C" w:rsidR="0033022C" w:rsidRPr="00D71151" w:rsidRDefault="00D929FB" w:rsidP="00D71151">
      <w:pPr>
        <w:ind w:right="-589"/>
        <w:rPr>
          <w:rFonts w:ascii="Arial" w:eastAsia="Calibri" w:hAnsi="Arial" w:cs="Arial"/>
          <w:sz w:val="20"/>
          <w:szCs w:val="20"/>
          <w:lang w:val="en-US"/>
        </w:rPr>
      </w:pPr>
      <w:r>
        <w:rPr>
          <w:rFonts w:ascii="Arial" w:eastAsia="Times New Roman" w:hAnsi="Arial" w:cs="Arial"/>
          <w:sz w:val="20"/>
          <w:szCs w:val="20"/>
          <w:lang w:val="en-US"/>
        </w:rPr>
        <w:t xml:space="preserve">The </w:t>
      </w:r>
      <w:r w:rsidRPr="00D71151">
        <w:rPr>
          <w:rFonts w:ascii="Arial" w:eastAsia="Times New Roman" w:hAnsi="Arial" w:cs="Arial"/>
          <w:sz w:val="20"/>
          <w:szCs w:val="20"/>
          <w:lang w:val="en-US"/>
        </w:rPr>
        <w:t>Centralized Implementation Unit</w:t>
      </w:r>
      <w:r w:rsidRPr="00D71151">
        <w:rPr>
          <w:rFonts w:ascii="Arial" w:eastAsia="Calibri" w:hAnsi="Arial" w:cs="Arial"/>
          <w:sz w:val="20"/>
          <w:szCs w:val="20"/>
          <w:lang w:val="en-US"/>
        </w:rPr>
        <w:t xml:space="preserve"> </w:t>
      </w:r>
      <w:r>
        <w:rPr>
          <w:rFonts w:ascii="Arial" w:eastAsia="Calibri" w:hAnsi="Arial" w:cs="Arial"/>
          <w:sz w:val="20"/>
          <w:szCs w:val="20"/>
          <w:lang w:val="en-US"/>
        </w:rPr>
        <w:t>(</w:t>
      </w:r>
      <w:r w:rsidR="00CF63A4" w:rsidRPr="00D71151">
        <w:rPr>
          <w:rFonts w:ascii="Arial" w:eastAsia="Calibri" w:hAnsi="Arial" w:cs="Arial"/>
          <w:sz w:val="20"/>
          <w:szCs w:val="20"/>
          <w:lang w:val="en-US"/>
        </w:rPr>
        <w:t>CIU</w:t>
      </w:r>
      <w:r>
        <w:rPr>
          <w:rFonts w:ascii="Arial" w:eastAsia="Calibri" w:hAnsi="Arial" w:cs="Arial"/>
          <w:sz w:val="20"/>
          <w:szCs w:val="20"/>
          <w:lang w:val="en-US"/>
        </w:rPr>
        <w:t>)</w:t>
      </w:r>
      <w:r w:rsidR="00CF63A4" w:rsidRPr="00D71151">
        <w:rPr>
          <w:rFonts w:ascii="Arial" w:eastAsia="Calibri" w:hAnsi="Arial" w:cs="Arial"/>
          <w:sz w:val="20"/>
          <w:szCs w:val="20"/>
          <w:lang w:val="en-US"/>
        </w:rPr>
        <w:t xml:space="preserve"> </w:t>
      </w:r>
      <w:r>
        <w:rPr>
          <w:rFonts w:ascii="Arial" w:eastAsia="Calibri" w:hAnsi="Arial" w:cs="Arial"/>
          <w:sz w:val="20"/>
          <w:szCs w:val="20"/>
          <w:lang w:val="en-US"/>
        </w:rPr>
        <w:t>S</w:t>
      </w:r>
      <w:r w:rsidR="0033022C" w:rsidRPr="00D71151">
        <w:rPr>
          <w:rFonts w:ascii="Arial" w:eastAsia="Calibri" w:hAnsi="Arial" w:cs="Arial"/>
          <w:sz w:val="20"/>
          <w:szCs w:val="20"/>
          <w:lang w:val="en-US"/>
        </w:rPr>
        <w:t xml:space="preserve">afeguards </w:t>
      </w:r>
      <w:r>
        <w:rPr>
          <w:rFonts w:ascii="Arial" w:eastAsia="Calibri" w:hAnsi="Arial" w:cs="Arial"/>
          <w:sz w:val="20"/>
          <w:szCs w:val="20"/>
          <w:lang w:val="en-US"/>
        </w:rPr>
        <w:t>T</w:t>
      </w:r>
      <w:r w:rsidR="00CF63A4" w:rsidRPr="00D71151">
        <w:rPr>
          <w:rFonts w:ascii="Arial" w:eastAsia="Calibri" w:hAnsi="Arial" w:cs="Arial"/>
          <w:sz w:val="20"/>
          <w:szCs w:val="20"/>
          <w:lang w:val="en-US"/>
        </w:rPr>
        <w:t>eam</w:t>
      </w:r>
      <w:r w:rsidR="00D71151">
        <w:rPr>
          <w:rFonts w:ascii="Arial" w:eastAsia="Calibri" w:hAnsi="Arial" w:cs="Arial"/>
          <w:sz w:val="20"/>
          <w:szCs w:val="20"/>
          <w:lang w:val="en-US"/>
        </w:rPr>
        <w:t>,</w:t>
      </w:r>
      <w:r w:rsidR="00CF63A4" w:rsidRPr="00D71151">
        <w:rPr>
          <w:rFonts w:ascii="Arial" w:eastAsia="Calibri" w:hAnsi="Arial" w:cs="Arial"/>
          <w:sz w:val="20"/>
          <w:szCs w:val="20"/>
          <w:lang w:val="en-US"/>
        </w:rPr>
        <w:t xml:space="preserve"> </w:t>
      </w:r>
      <w:r>
        <w:rPr>
          <w:rFonts w:ascii="Arial" w:eastAsia="Calibri" w:hAnsi="Arial" w:cs="Arial"/>
          <w:sz w:val="20"/>
          <w:szCs w:val="20"/>
          <w:lang w:val="en-US"/>
        </w:rPr>
        <w:t>in collaboration with t</w:t>
      </w:r>
      <w:r w:rsidRPr="00D71151">
        <w:rPr>
          <w:rFonts w:ascii="Arial" w:eastAsia="Calibri" w:hAnsi="Arial" w:cs="Arial"/>
          <w:sz w:val="20"/>
          <w:szCs w:val="20"/>
          <w:lang w:val="en-US"/>
        </w:rPr>
        <w:t xml:space="preserve">he </w:t>
      </w:r>
      <w:r>
        <w:rPr>
          <w:rFonts w:ascii="Arial" w:eastAsia="Calibri" w:hAnsi="Arial" w:cs="Arial"/>
          <w:sz w:val="20"/>
          <w:szCs w:val="20"/>
          <w:lang w:val="en-US"/>
        </w:rPr>
        <w:t>Project Manager (PM)</w:t>
      </w:r>
      <w:r w:rsidR="00886041">
        <w:rPr>
          <w:rFonts w:ascii="Arial" w:eastAsia="Calibri" w:hAnsi="Arial" w:cs="Arial"/>
          <w:sz w:val="20"/>
          <w:szCs w:val="20"/>
          <w:lang w:val="en-US"/>
        </w:rPr>
        <w:t>.</w:t>
      </w:r>
      <w:r>
        <w:rPr>
          <w:rFonts w:ascii="Arial" w:eastAsia="Calibri" w:hAnsi="Arial" w:cs="Arial"/>
          <w:sz w:val="20"/>
          <w:szCs w:val="20"/>
          <w:lang w:val="en-US"/>
        </w:rPr>
        <w:t xml:space="preserve"> </w:t>
      </w:r>
      <w:r w:rsidR="0033022C" w:rsidRPr="00D71151">
        <w:rPr>
          <w:rFonts w:ascii="Arial" w:eastAsia="Calibri" w:hAnsi="Arial" w:cs="Arial"/>
          <w:sz w:val="20"/>
          <w:szCs w:val="20"/>
          <w:lang w:val="en-US"/>
        </w:rPr>
        <w:t xml:space="preserve">will oversee </w:t>
      </w:r>
      <w:r>
        <w:rPr>
          <w:rFonts w:ascii="Arial" w:eastAsia="Calibri" w:hAnsi="Arial" w:cs="Arial"/>
          <w:sz w:val="20"/>
          <w:szCs w:val="20"/>
          <w:lang w:val="en-US"/>
        </w:rPr>
        <w:t xml:space="preserve">the </w:t>
      </w:r>
      <w:r w:rsidR="00697E78" w:rsidRPr="00D71151">
        <w:rPr>
          <w:rFonts w:ascii="Arial" w:eastAsia="Calibri" w:hAnsi="Arial" w:cs="Arial"/>
          <w:sz w:val="20"/>
          <w:szCs w:val="20"/>
          <w:lang w:val="en-US"/>
        </w:rPr>
        <w:t xml:space="preserve">safeguards aspects of </w:t>
      </w:r>
      <w:r w:rsidR="0033022C" w:rsidRPr="00D71151">
        <w:rPr>
          <w:rFonts w:ascii="Arial" w:eastAsia="Calibri" w:hAnsi="Arial" w:cs="Arial"/>
          <w:sz w:val="20"/>
          <w:szCs w:val="20"/>
          <w:lang w:val="en-US"/>
        </w:rPr>
        <w:t>each activity</w:t>
      </w:r>
      <w:r>
        <w:rPr>
          <w:rFonts w:ascii="Arial" w:eastAsia="Calibri" w:hAnsi="Arial" w:cs="Arial"/>
          <w:sz w:val="20"/>
          <w:szCs w:val="20"/>
          <w:lang w:val="en-US"/>
        </w:rPr>
        <w:t>, including stakeholder consultation processes</w:t>
      </w:r>
      <w:r w:rsidR="0033022C" w:rsidRPr="00D71151">
        <w:rPr>
          <w:rFonts w:ascii="Arial" w:eastAsia="Calibri" w:hAnsi="Arial" w:cs="Arial"/>
          <w:sz w:val="20"/>
          <w:szCs w:val="20"/>
          <w:lang w:val="en-US"/>
        </w:rPr>
        <w:t>.</w:t>
      </w:r>
      <w:r w:rsidR="00EC6474" w:rsidRPr="00D71151">
        <w:rPr>
          <w:rFonts w:ascii="Arial" w:eastAsia="Calibri" w:hAnsi="Arial" w:cs="Arial"/>
          <w:sz w:val="20"/>
          <w:szCs w:val="20"/>
          <w:lang w:val="en-US"/>
        </w:rPr>
        <w:t xml:space="preserve">  Annex A sets out specific </w:t>
      </w:r>
      <w:r w:rsidR="00F54AC9" w:rsidRPr="00D71151">
        <w:rPr>
          <w:rFonts w:ascii="Arial" w:eastAsia="Calibri" w:hAnsi="Arial" w:cs="Arial"/>
          <w:sz w:val="20"/>
          <w:szCs w:val="20"/>
          <w:lang w:val="en-US"/>
        </w:rPr>
        <w:t xml:space="preserve">engagement </w:t>
      </w:r>
      <w:r w:rsidR="00EC6474" w:rsidRPr="00D71151">
        <w:rPr>
          <w:rFonts w:ascii="Arial" w:eastAsia="Calibri" w:hAnsi="Arial" w:cs="Arial"/>
          <w:sz w:val="20"/>
          <w:szCs w:val="20"/>
          <w:lang w:val="en-US"/>
        </w:rPr>
        <w:t xml:space="preserve">actions associated with each MIMIP activity </w:t>
      </w:r>
      <w:r w:rsidR="00D71151">
        <w:rPr>
          <w:rFonts w:ascii="Arial" w:eastAsia="Calibri" w:hAnsi="Arial" w:cs="Arial"/>
          <w:sz w:val="20"/>
          <w:szCs w:val="20"/>
          <w:lang w:val="en-US"/>
        </w:rPr>
        <w:t>anticipated</w:t>
      </w:r>
      <w:r w:rsidR="00D71151" w:rsidRPr="00D71151">
        <w:rPr>
          <w:rFonts w:ascii="Arial" w:eastAsia="Calibri" w:hAnsi="Arial" w:cs="Arial"/>
          <w:sz w:val="20"/>
          <w:szCs w:val="20"/>
          <w:lang w:val="en-US"/>
        </w:rPr>
        <w:t xml:space="preserve"> </w:t>
      </w:r>
      <w:r w:rsidR="00EC6474" w:rsidRPr="00D71151">
        <w:rPr>
          <w:rFonts w:ascii="Arial" w:eastAsia="Calibri" w:hAnsi="Arial" w:cs="Arial"/>
          <w:sz w:val="20"/>
          <w:szCs w:val="20"/>
          <w:lang w:val="en-US"/>
        </w:rPr>
        <w:t xml:space="preserve">over the next </w:t>
      </w:r>
      <w:r w:rsidR="00961256" w:rsidRPr="00D71151">
        <w:rPr>
          <w:rFonts w:ascii="Arial" w:eastAsia="Calibri" w:hAnsi="Arial" w:cs="Arial"/>
          <w:sz w:val="20"/>
          <w:szCs w:val="20"/>
          <w:lang w:val="en-US"/>
        </w:rPr>
        <w:t>12-month</w:t>
      </w:r>
      <w:r w:rsidR="00EC6474" w:rsidRPr="00D71151">
        <w:rPr>
          <w:rFonts w:ascii="Arial" w:eastAsia="Calibri" w:hAnsi="Arial" w:cs="Arial"/>
          <w:sz w:val="20"/>
          <w:szCs w:val="20"/>
          <w:lang w:val="en-US"/>
        </w:rPr>
        <w:t xml:space="preserve"> period.</w:t>
      </w:r>
      <w:r w:rsidR="00F54AC9" w:rsidRPr="00D71151">
        <w:rPr>
          <w:rFonts w:ascii="Arial" w:eastAsia="Calibri" w:hAnsi="Arial" w:cs="Arial"/>
          <w:sz w:val="20"/>
          <w:szCs w:val="20"/>
          <w:lang w:val="en-US"/>
        </w:rPr>
        <w:t xml:space="preserve"> In addition, reference is made to broader Project awareness raising activities.</w:t>
      </w:r>
    </w:p>
    <w:p w14:paraId="64A5971C" w14:textId="271CD867" w:rsidR="0033022C" w:rsidRPr="005F5C71" w:rsidRDefault="0033022C" w:rsidP="00D71151">
      <w:pPr>
        <w:pStyle w:val="Heading2"/>
      </w:pPr>
      <w:bookmarkStart w:id="16" w:name="_Toc533615250"/>
      <w:r w:rsidRPr="005F5C71">
        <w:tab/>
      </w:r>
      <w:bookmarkStart w:id="17" w:name="_Toc98072625"/>
      <w:r w:rsidRPr="005F5C71">
        <w:t xml:space="preserve">Monitoring and </w:t>
      </w:r>
      <w:r w:rsidR="000113F3" w:rsidRPr="005F5C71">
        <w:t>R</w:t>
      </w:r>
      <w:r w:rsidRPr="005F5C71">
        <w:t>eporting</w:t>
      </w:r>
      <w:bookmarkEnd w:id="16"/>
      <w:bookmarkEnd w:id="17"/>
      <w:r w:rsidRPr="005F5C71">
        <w:t xml:space="preserve"> </w:t>
      </w:r>
    </w:p>
    <w:p w14:paraId="3FA2F8C5" w14:textId="305A2B53" w:rsidR="0033022C" w:rsidRPr="00D71151" w:rsidRDefault="0033022C" w:rsidP="00886041">
      <w:pPr>
        <w:ind w:right="-589"/>
        <w:rPr>
          <w:rFonts w:ascii="Arial" w:eastAsia="Calibri" w:hAnsi="Arial" w:cs="Arial"/>
          <w:sz w:val="20"/>
          <w:szCs w:val="20"/>
          <w:lang w:val="en-US"/>
        </w:rPr>
      </w:pPr>
      <w:r w:rsidRPr="00D71151">
        <w:rPr>
          <w:rFonts w:ascii="Arial" w:eastAsia="Calibri" w:hAnsi="Arial" w:cs="Arial"/>
          <w:sz w:val="20"/>
          <w:szCs w:val="20"/>
          <w:lang w:val="en-US"/>
        </w:rPr>
        <w:t>Procedures to monitor progress o</w:t>
      </w:r>
      <w:r w:rsidR="00D929FB">
        <w:rPr>
          <w:rFonts w:ascii="Arial" w:eastAsia="Calibri" w:hAnsi="Arial" w:cs="Arial"/>
          <w:sz w:val="20"/>
          <w:szCs w:val="20"/>
          <w:lang w:val="en-US"/>
        </w:rPr>
        <w:t>n</w:t>
      </w:r>
      <w:r w:rsidRPr="00D71151">
        <w:rPr>
          <w:rFonts w:ascii="Arial" w:eastAsia="Calibri" w:hAnsi="Arial" w:cs="Arial"/>
          <w:sz w:val="20"/>
          <w:szCs w:val="20"/>
          <w:lang w:val="en-US"/>
        </w:rPr>
        <w:t xml:space="preserve"> implementation of environmental and social </w:t>
      </w:r>
      <w:r w:rsidR="00D929FB">
        <w:rPr>
          <w:rFonts w:ascii="Arial" w:eastAsia="Calibri" w:hAnsi="Arial" w:cs="Arial"/>
          <w:sz w:val="20"/>
          <w:szCs w:val="20"/>
          <w:lang w:val="en-US"/>
        </w:rPr>
        <w:t xml:space="preserve">(E&amp;S) </w:t>
      </w:r>
      <w:r w:rsidRPr="00D71151">
        <w:rPr>
          <w:rFonts w:ascii="Arial" w:eastAsia="Calibri" w:hAnsi="Arial" w:cs="Arial"/>
          <w:sz w:val="20"/>
          <w:szCs w:val="20"/>
          <w:lang w:val="en-US"/>
        </w:rPr>
        <w:t>management plans</w:t>
      </w:r>
      <w:r w:rsidR="00D929FB">
        <w:rPr>
          <w:rFonts w:ascii="Arial" w:eastAsia="Calibri" w:hAnsi="Arial" w:cs="Arial"/>
          <w:sz w:val="20"/>
          <w:szCs w:val="20"/>
          <w:lang w:val="en-US"/>
        </w:rPr>
        <w:t xml:space="preserve"> </w:t>
      </w:r>
      <w:r w:rsidRPr="00D71151">
        <w:rPr>
          <w:rFonts w:ascii="Arial" w:eastAsia="Calibri" w:hAnsi="Arial" w:cs="Arial"/>
          <w:sz w:val="20"/>
          <w:szCs w:val="20"/>
          <w:lang w:val="en-US"/>
        </w:rPr>
        <w:t xml:space="preserve">will </w:t>
      </w:r>
      <w:r w:rsidR="00D71151">
        <w:rPr>
          <w:rFonts w:ascii="Arial" w:eastAsia="Calibri" w:hAnsi="Arial" w:cs="Arial"/>
          <w:sz w:val="20"/>
          <w:szCs w:val="20"/>
          <w:lang w:val="en-US"/>
        </w:rPr>
        <w:t xml:space="preserve">be </w:t>
      </w:r>
      <w:r w:rsidRPr="00D71151">
        <w:rPr>
          <w:rFonts w:ascii="Arial" w:eastAsia="Calibri" w:hAnsi="Arial" w:cs="Arial"/>
          <w:sz w:val="20"/>
          <w:szCs w:val="20"/>
          <w:lang w:val="en-US"/>
        </w:rPr>
        <w:t xml:space="preserve">maintained throughout the </w:t>
      </w:r>
      <w:r w:rsidR="00D71151">
        <w:rPr>
          <w:rFonts w:ascii="Arial" w:eastAsia="Calibri" w:hAnsi="Arial" w:cs="Arial"/>
          <w:sz w:val="20"/>
          <w:szCs w:val="20"/>
          <w:lang w:val="en-US"/>
        </w:rPr>
        <w:t xml:space="preserve">life of the </w:t>
      </w:r>
      <w:r w:rsidRPr="00D71151">
        <w:rPr>
          <w:rFonts w:ascii="Arial" w:eastAsia="Calibri" w:hAnsi="Arial" w:cs="Arial"/>
          <w:sz w:val="20"/>
          <w:szCs w:val="20"/>
          <w:lang w:val="en-US"/>
        </w:rPr>
        <w:t xml:space="preserve">Project. These will include, but not be limited to, monitoring of </w:t>
      </w:r>
      <w:r w:rsidR="00D929FB">
        <w:rPr>
          <w:rFonts w:ascii="Arial" w:eastAsia="Calibri" w:hAnsi="Arial" w:cs="Arial"/>
          <w:sz w:val="20"/>
          <w:szCs w:val="20"/>
          <w:lang w:val="en-US"/>
        </w:rPr>
        <w:t xml:space="preserve">stakeholder </w:t>
      </w:r>
      <w:r w:rsidRPr="00D71151">
        <w:rPr>
          <w:rFonts w:ascii="Arial" w:eastAsia="Calibri" w:hAnsi="Arial" w:cs="Arial"/>
          <w:sz w:val="20"/>
          <w:szCs w:val="20"/>
          <w:lang w:val="en-US"/>
        </w:rPr>
        <w:t xml:space="preserve">engagement </w:t>
      </w:r>
      <w:r w:rsidR="00D929FB">
        <w:rPr>
          <w:rFonts w:ascii="Arial" w:eastAsia="Calibri" w:hAnsi="Arial" w:cs="Arial"/>
          <w:sz w:val="20"/>
          <w:szCs w:val="20"/>
          <w:lang w:val="en-US"/>
        </w:rPr>
        <w:t xml:space="preserve">processes and </w:t>
      </w:r>
      <w:r w:rsidRPr="00D71151">
        <w:rPr>
          <w:rFonts w:ascii="Arial" w:eastAsia="Calibri" w:hAnsi="Arial" w:cs="Arial"/>
          <w:sz w:val="20"/>
          <w:szCs w:val="20"/>
          <w:lang w:val="en-US"/>
        </w:rPr>
        <w:t>outcomes</w:t>
      </w:r>
      <w:r w:rsidR="00D929FB">
        <w:rPr>
          <w:rFonts w:ascii="Arial" w:eastAsia="Calibri" w:hAnsi="Arial" w:cs="Arial"/>
          <w:sz w:val="20"/>
          <w:szCs w:val="20"/>
          <w:lang w:val="en-US"/>
        </w:rPr>
        <w:t xml:space="preserve"> with a special focus on ensuring </w:t>
      </w:r>
      <w:r w:rsidR="00886041">
        <w:rPr>
          <w:rFonts w:ascii="Arial" w:eastAsia="Calibri" w:hAnsi="Arial" w:cs="Arial"/>
          <w:sz w:val="20"/>
          <w:szCs w:val="20"/>
          <w:lang w:val="en-US"/>
        </w:rPr>
        <w:t xml:space="preserve">genuine </w:t>
      </w:r>
      <w:r w:rsidR="00D929FB">
        <w:rPr>
          <w:rFonts w:ascii="Arial" w:eastAsia="Calibri" w:hAnsi="Arial" w:cs="Arial"/>
          <w:sz w:val="20"/>
          <w:szCs w:val="20"/>
          <w:lang w:val="en-US"/>
        </w:rPr>
        <w:t xml:space="preserve">engagement of </w:t>
      </w:r>
      <w:r w:rsidR="00886041">
        <w:rPr>
          <w:rFonts w:ascii="Arial" w:eastAsia="Calibri" w:hAnsi="Arial" w:cs="Arial"/>
          <w:sz w:val="20"/>
          <w:szCs w:val="20"/>
          <w:lang w:val="en-US"/>
        </w:rPr>
        <w:t>vulnerable</w:t>
      </w:r>
      <w:r w:rsidR="00D929FB">
        <w:rPr>
          <w:rFonts w:ascii="Arial" w:eastAsia="Calibri" w:hAnsi="Arial" w:cs="Arial"/>
          <w:sz w:val="20"/>
          <w:szCs w:val="20"/>
          <w:lang w:val="en-US"/>
        </w:rPr>
        <w:t xml:space="preserve"> groups of people</w:t>
      </w:r>
      <w:r w:rsidR="00886041">
        <w:rPr>
          <w:rFonts w:ascii="Arial" w:eastAsia="Calibri" w:hAnsi="Arial" w:cs="Arial"/>
          <w:sz w:val="20"/>
          <w:szCs w:val="20"/>
          <w:lang w:val="en-US"/>
        </w:rPr>
        <w:t xml:space="preserve"> and promoting </w:t>
      </w:r>
      <w:r w:rsidRPr="00D71151">
        <w:rPr>
          <w:rFonts w:ascii="Arial" w:eastAsia="Calibri" w:hAnsi="Arial" w:cs="Arial"/>
          <w:sz w:val="20"/>
          <w:szCs w:val="20"/>
          <w:lang w:val="en-US"/>
        </w:rPr>
        <w:t>gender</w:t>
      </w:r>
      <w:r w:rsidR="00D929FB">
        <w:rPr>
          <w:rFonts w:ascii="Arial" w:eastAsia="Calibri" w:hAnsi="Arial" w:cs="Arial"/>
          <w:sz w:val="20"/>
          <w:szCs w:val="20"/>
          <w:lang w:val="en-US"/>
        </w:rPr>
        <w:t xml:space="preserve"> equality and social inclusion (GESI)</w:t>
      </w:r>
      <w:r w:rsidR="00886041">
        <w:rPr>
          <w:rFonts w:ascii="Arial" w:eastAsia="Calibri" w:hAnsi="Arial" w:cs="Arial"/>
          <w:sz w:val="20"/>
          <w:szCs w:val="20"/>
          <w:lang w:val="en-US"/>
        </w:rPr>
        <w:t xml:space="preserve"> principles</w:t>
      </w:r>
      <w:r w:rsidRPr="00D71151">
        <w:rPr>
          <w:rFonts w:ascii="Arial" w:eastAsia="Calibri" w:hAnsi="Arial" w:cs="Arial"/>
          <w:sz w:val="20"/>
          <w:szCs w:val="20"/>
          <w:lang w:val="en-US"/>
        </w:rPr>
        <w:t xml:space="preserve">. </w:t>
      </w:r>
    </w:p>
    <w:p w14:paraId="2F90A7AB" w14:textId="698B6E11" w:rsidR="00D71151" w:rsidRPr="00D71151" w:rsidRDefault="00D71151" w:rsidP="00886041">
      <w:pPr>
        <w:widowControl w:val="0"/>
        <w:autoSpaceDE w:val="0"/>
        <w:autoSpaceDN w:val="0"/>
        <w:ind w:right="-589"/>
        <w:rPr>
          <w:rFonts w:ascii="Arial" w:eastAsia="Times New Roman" w:hAnsi="Arial" w:cs="Arial"/>
          <w:b/>
          <w:bCs/>
          <w:color w:val="002060"/>
          <w:sz w:val="20"/>
          <w:szCs w:val="20"/>
          <w:u w:val="single"/>
          <w:lang w:val="en-US"/>
        </w:rPr>
      </w:pPr>
      <w:r w:rsidRPr="00D929FB">
        <w:rPr>
          <w:rFonts w:ascii="Arial" w:eastAsia="Calibri" w:hAnsi="Arial" w:cs="Arial"/>
          <w:sz w:val="20"/>
          <w:szCs w:val="20"/>
          <w:lang w:val="en-US"/>
        </w:rPr>
        <w:t>To assist with monitoring and reporting</w:t>
      </w:r>
      <w:r w:rsidR="00886041">
        <w:rPr>
          <w:rFonts w:ascii="Arial" w:eastAsia="Calibri" w:hAnsi="Arial" w:cs="Arial"/>
          <w:sz w:val="20"/>
          <w:szCs w:val="20"/>
          <w:lang w:val="en-US"/>
        </w:rPr>
        <w:t xml:space="preserve"> on stakeholder engagement</w:t>
      </w:r>
      <w:r w:rsidRPr="00D929FB">
        <w:rPr>
          <w:rFonts w:ascii="Arial" w:eastAsia="Calibri" w:hAnsi="Arial" w:cs="Arial"/>
          <w:sz w:val="20"/>
          <w:szCs w:val="20"/>
          <w:lang w:val="en-US"/>
        </w:rPr>
        <w:t xml:space="preserve">, the </w:t>
      </w:r>
      <w:r w:rsidR="00D929FB" w:rsidRPr="00D929FB">
        <w:rPr>
          <w:rFonts w:ascii="Arial" w:eastAsia="Calibri" w:hAnsi="Arial" w:cs="Arial"/>
          <w:sz w:val="20"/>
          <w:szCs w:val="20"/>
          <w:lang w:val="en-US"/>
        </w:rPr>
        <w:t xml:space="preserve">CIU Safeguards Team </w:t>
      </w:r>
      <w:r w:rsidR="00227885">
        <w:rPr>
          <w:rFonts w:ascii="Arial" w:eastAsia="Calibri" w:hAnsi="Arial" w:cs="Arial"/>
          <w:sz w:val="20"/>
          <w:szCs w:val="20"/>
          <w:lang w:val="en-US"/>
        </w:rPr>
        <w:t>has</w:t>
      </w:r>
      <w:r w:rsidR="00D929FB" w:rsidRPr="00D929FB">
        <w:rPr>
          <w:rFonts w:ascii="Arial" w:eastAsia="Calibri" w:hAnsi="Arial" w:cs="Arial"/>
          <w:sz w:val="20"/>
          <w:szCs w:val="20"/>
          <w:lang w:val="en-US"/>
        </w:rPr>
        <w:t xml:space="preserve"> establish</w:t>
      </w:r>
      <w:r w:rsidR="00227885">
        <w:rPr>
          <w:rFonts w:ascii="Arial" w:eastAsia="Calibri" w:hAnsi="Arial" w:cs="Arial"/>
          <w:sz w:val="20"/>
          <w:szCs w:val="20"/>
          <w:lang w:val="en-US"/>
        </w:rPr>
        <w:t>ed</w:t>
      </w:r>
      <w:r w:rsidR="00D929FB" w:rsidRPr="00D929FB">
        <w:rPr>
          <w:rFonts w:ascii="Arial" w:eastAsia="Calibri" w:hAnsi="Arial" w:cs="Arial"/>
          <w:sz w:val="20"/>
          <w:szCs w:val="20"/>
          <w:lang w:val="en-US"/>
        </w:rPr>
        <w:t xml:space="preserve"> the  </w:t>
      </w:r>
      <w:r w:rsidR="00D929FB" w:rsidRPr="00D929FB">
        <w:rPr>
          <w:rFonts w:ascii="Arial" w:eastAsia="Calibri" w:hAnsi="Arial" w:cs="Arial"/>
          <w:sz w:val="20"/>
          <w:szCs w:val="20"/>
          <w:u w:val="single"/>
          <w:lang w:val="en-US"/>
        </w:rPr>
        <w:t xml:space="preserve">MIMIP </w:t>
      </w:r>
      <w:r w:rsidRPr="00D929FB">
        <w:rPr>
          <w:rFonts w:ascii="Arial" w:eastAsia="Calibri" w:hAnsi="Arial" w:cs="Arial"/>
          <w:sz w:val="20"/>
          <w:szCs w:val="20"/>
          <w:u w:val="single"/>
          <w:lang w:val="en-US"/>
        </w:rPr>
        <w:t>Stakeholder Engagement Registry</w:t>
      </w:r>
      <w:r w:rsidR="00D929FB" w:rsidRPr="00D929FB">
        <w:rPr>
          <w:rFonts w:ascii="Arial" w:eastAsia="Calibri" w:hAnsi="Arial" w:cs="Arial"/>
          <w:sz w:val="20"/>
          <w:szCs w:val="20"/>
          <w:lang w:val="en-US"/>
        </w:rPr>
        <w:t xml:space="preserve"> (SER) which will </w:t>
      </w:r>
      <w:r w:rsidRPr="00D929FB">
        <w:rPr>
          <w:rFonts w:ascii="Arial" w:eastAsia="Calibri" w:hAnsi="Arial" w:cs="Arial"/>
          <w:sz w:val="20"/>
          <w:szCs w:val="20"/>
          <w:lang w:val="en-US"/>
        </w:rPr>
        <w:t xml:space="preserve">consist of a series of </w:t>
      </w:r>
      <w:r w:rsidR="00D929FB" w:rsidRPr="00D929FB">
        <w:rPr>
          <w:rFonts w:ascii="Arial" w:eastAsia="Calibri" w:hAnsi="Arial" w:cs="Arial"/>
          <w:sz w:val="20"/>
          <w:szCs w:val="20"/>
          <w:lang w:val="en-US"/>
        </w:rPr>
        <w:t xml:space="preserve">Consultation </w:t>
      </w:r>
      <w:r w:rsidRPr="00D929FB">
        <w:rPr>
          <w:rFonts w:ascii="Arial" w:eastAsia="Calibri" w:hAnsi="Arial" w:cs="Arial"/>
          <w:sz w:val="20"/>
          <w:szCs w:val="20"/>
          <w:lang w:val="en-US"/>
        </w:rPr>
        <w:t>Information Sheets</w:t>
      </w:r>
      <w:r w:rsidR="00D929FB" w:rsidRPr="00D929FB">
        <w:rPr>
          <w:rFonts w:ascii="Arial" w:eastAsia="Calibri" w:hAnsi="Arial" w:cs="Arial"/>
          <w:sz w:val="20"/>
          <w:szCs w:val="20"/>
          <w:lang w:val="en-US"/>
        </w:rPr>
        <w:t>.</w:t>
      </w:r>
      <w:r w:rsidRPr="00D929FB">
        <w:rPr>
          <w:rFonts w:ascii="Arial" w:eastAsia="Calibri" w:hAnsi="Arial" w:cs="Arial"/>
          <w:sz w:val="20"/>
          <w:szCs w:val="20"/>
          <w:lang w:val="en-US"/>
        </w:rPr>
        <w:t xml:space="preserve"> </w:t>
      </w:r>
      <w:r w:rsidR="00D929FB" w:rsidRPr="00D929FB">
        <w:rPr>
          <w:rFonts w:ascii="Arial" w:eastAsia="Times New Roman" w:hAnsi="Arial" w:cs="Arial"/>
          <w:sz w:val="20"/>
          <w:szCs w:val="20"/>
          <w:lang w:val="en-US"/>
        </w:rPr>
        <w:t>Information Sheets</w:t>
      </w:r>
      <w:r w:rsidRPr="00D71151">
        <w:rPr>
          <w:rFonts w:ascii="Arial" w:eastAsia="Times New Roman" w:hAnsi="Arial" w:cs="Arial"/>
          <w:sz w:val="20"/>
          <w:szCs w:val="20"/>
          <w:lang w:val="en-US"/>
        </w:rPr>
        <w:t xml:space="preserve"> </w:t>
      </w:r>
      <w:r w:rsidR="00D929FB" w:rsidRPr="00D929FB">
        <w:rPr>
          <w:rFonts w:ascii="Arial" w:eastAsia="Times New Roman" w:hAnsi="Arial" w:cs="Arial"/>
          <w:sz w:val="20"/>
          <w:szCs w:val="20"/>
          <w:lang w:val="en-US"/>
        </w:rPr>
        <w:t>will</w:t>
      </w:r>
      <w:r w:rsidRPr="00D71151">
        <w:rPr>
          <w:rFonts w:ascii="Arial" w:eastAsia="Times New Roman" w:hAnsi="Arial" w:cs="Arial"/>
          <w:sz w:val="20"/>
          <w:szCs w:val="20"/>
          <w:lang w:val="en-US"/>
        </w:rPr>
        <w:t xml:space="preserve"> provide summary level information with emphasis on identifying any environmental or social risks or negative impacts related to the Project as well as follow-up actions required. </w:t>
      </w:r>
      <w:r w:rsidR="00886041" w:rsidRPr="00D71151">
        <w:rPr>
          <w:rFonts w:ascii="Arial" w:eastAsia="Times New Roman" w:hAnsi="Arial" w:cs="Arial"/>
          <w:sz w:val="20"/>
          <w:szCs w:val="20"/>
          <w:lang w:val="en-US"/>
        </w:rPr>
        <w:t>The purpose</w:t>
      </w:r>
      <w:r w:rsidR="00886041">
        <w:rPr>
          <w:rFonts w:ascii="Arial" w:eastAsia="Times New Roman" w:hAnsi="Arial" w:cs="Arial"/>
          <w:sz w:val="20"/>
          <w:szCs w:val="20"/>
          <w:lang w:val="en-US"/>
        </w:rPr>
        <w:t xml:space="preserve"> of</w:t>
      </w:r>
      <w:r w:rsidR="00886041" w:rsidRPr="00D71151">
        <w:rPr>
          <w:rFonts w:ascii="Arial" w:eastAsia="Times New Roman" w:hAnsi="Arial" w:cs="Arial"/>
          <w:sz w:val="20"/>
          <w:szCs w:val="20"/>
          <w:lang w:val="en-US"/>
        </w:rPr>
        <w:t xml:space="preserve"> </w:t>
      </w:r>
      <w:r w:rsidR="00886041" w:rsidRPr="00D929FB">
        <w:rPr>
          <w:rFonts w:ascii="Arial" w:eastAsia="Times New Roman" w:hAnsi="Arial" w:cs="Arial"/>
          <w:sz w:val="20"/>
          <w:szCs w:val="20"/>
          <w:lang w:val="en-US"/>
        </w:rPr>
        <w:t xml:space="preserve">the SER </w:t>
      </w:r>
      <w:r w:rsidR="00886041" w:rsidRPr="00D71151">
        <w:rPr>
          <w:rFonts w:ascii="Arial" w:eastAsia="Times New Roman" w:hAnsi="Arial" w:cs="Arial"/>
          <w:sz w:val="20"/>
          <w:szCs w:val="20"/>
          <w:lang w:val="en-US"/>
        </w:rPr>
        <w:t xml:space="preserve">is to ensure </w:t>
      </w:r>
      <w:r w:rsidR="00886041">
        <w:rPr>
          <w:rFonts w:ascii="Arial" w:eastAsia="Times New Roman" w:hAnsi="Arial" w:cs="Arial"/>
          <w:sz w:val="20"/>
          <w:szCs w:val="20"/>
          <w:lang w:val="en-US"/>
        </w:rPr>
        <w:t>that</w:t>
      </w:r>
      <w:r w:rsidR="00886041" w:rsidRPr="00D71151">
        <w:rPr>
          <w:rFonts w:ascii="Arial" w:eastAsia="Times New Roman" w:hAnsi="Arial" w:cs="Arial"/>
          <w:sz w:val="20"/>
          <w:szCs w:val="20"/>
          <w:lang w:val="en-US"/>
        </w:rPr>
        <w:t xml:space="preserve"> accurate record</w:t>
      </w:r>
      <w:r w:rsidR="00886041">
        <w:rPr>
          <w:rFonts w:ascii="Arial" w:eastAsia="Times New Roman" w:hAnsi="Arial" w:cs="Arial"/>
          <w:sz w:val="20"/>
          <w:szCs w:val="20"/>
          <w:lang w:val="en-US"/>
        </w:rPr>
        <w:t>s</w:t>
      </w:r>
      <w:r w:rsidR="00886041" w:rsidRPr="00D71151">
        <w:rPr>
          <w:rFonts w:ascii="Arial" w:eastAsia="Times New Roman" w:hAnsi="Arial" w:cs="Arial"/>
          <w:sz w:val="20"/>
          <w:szCs w:val="20"/>
          <w:lang w:val="en-US"/>
        </w:rPr>
        <w:t xml:space="preserve"> of all stakeholder engagement and consultation events held </w:t>
      </w:r>
      <w:r w:rsidR="00886041">
        <w:rPr>
          <w:rFonts w:ascii="Arial" w:eastAsia="Times New Roman" w:hAnsi="Arial" w:cs="Arial"/>
          <w:sz w:val="20"/>
          <w:szCs w:val="20"/>
          <w:lang w:val="en-US"/>
        </w:rPr>
        <w:t>during MIMIP</w:t>
      </w:r>
      <w:r w:rsidR="00886041" w:rsidRPr="00D71151">
        <w:rPr>
          <w:rFonts w:ascii="Arial" w:eastAsia="Times New Roman" w:hAnsi="Arial" w:cs="Arial"/>
          <w:sz w:val="20"/>
          <w:szCs w:val="20"/>
          <w:lang w:val="en-US"/>
        </w:rPr>
        <w:t xml:space="preserve"> implementation </w:t>
      </w:r>
      <w:r w:rsidR="00886041">
        <w:rPr>
          <w:rFonts w:ascii="Arial" w:eastAsia="Times New Roman" w:hAnsi="Arial" w:cs="Arial"/>
          <w:sz w:val="20"/>
          <w:szCs w:val="20"/>
          <w:lang w:val="en-US"/>
        </w:rPr>
        <w:t>are maintained and that the information and insights gained are used to improve project effectiveness and mitigate any potential risks.</w:t>
      </w:r>
    </w:p>
    <w:p w14:paraId="0D000634" w14:textId="259B2521" w:rsidR="00D71151" w:rsidRPr="00D71151" w:rsidRDefault="00D929FB" w:rsidP="00886041">
      <w:pPr>
        <w:widowControl w:val="0"/>
        <w:autoSpaceDE w:val="0"/>
        <w:autoSpaceDN w:val="0"/>
        <w:ind w:right="-507"/>
        <w:rPr>
          <w:rFonts w:ascii="Arial" w:eastAsia="Times New Roman" w:hAnsi="Arial" w:cs="Arial"/>
          <w:sz w:val="20"/>
          <w:szCs w:val="20"/>
          <w:lang w:val="en-US"/>
        </w:rPr>
      </w:pPr>
      <w:r>
        <w:rPr>
          <w:rFonts w:ascii="Arial" w:eastAsia="Times New Roman" w:hAnsi="Arial" w:cs="Arial"/>
          <w:sz w:val="20"/>
          <w:szCs w:val="20"/>
          <w:lang w:val="en-US"/>
        </w:rPr>
        <w:t xml:space="preserve">Stakeholder </w:t>
      </w:r>
      <w:r w:rsidR="00FF70B5">
        <w:rPr>
          <w:rFonts w:ascii="Arial" w:eastAsia="Times New Roman" w:hAnsi="Arial" w:cs="Arial"/>
          <w:sz w:val="20"/>
          <w:szCs w:val="20"/>
          <w:lang w:val="en-US"/>
        </w:rPr>
        <w:t>c</w:t>
      </w:r>
      <w:r>
        <w:rPr>
          <w:rFonts w:ascii="Arial" w:eastAsia="Times New Roman" w:hAnsi="Arial" w:cs="Arial"/>
          <w:sz w:val="20"/>
          <w:szCs w:val="20"/>
          <w:lang w:val="en-US"/>
        </w:rPr>
        <w:t xml:space="preserve">onsultation </w:t>
      </w:r>
      <w:r w:rsidR="00FF70B5">
        <w:rPr>
          <w:rFonts w:ascii="Arial" w:eastAsia="Times New Roman" w:hAnsi="Arial" w:cs="Arial"/>
          <w:sz w:val="20"/>
          <w:szCs w:val="20"/>
          <w:lang w:val="en-US"/>
        </w:rPr>
        <w:t>summary information</w:t>
      </w:r>
      <w:r>
        <w:rPr>
          <w:rFonts w:ascii="Arial" w:eastAsia="Times New Roman" w:hAnsi="Arial" w:cs="Arial"/>
          <w:sz w:val="20"/>
          <w:szCs w:val="20"/>
          <w:lang w:val="en-US"/>
        </w:rPr>
        <w:t xml:space="preserve"> </w:t>
      </w:r>
      <w:r w:rsidR="00FF70B5">
        <w:rPr>
          <w:rFonts w:ascii="Arial" w:eastAsia="Times New Roman" w:hAnsi="Arial" w:cs="Arial"/>
          <w:sz w:val="20"/>
          <w:szCs w:val="20"/>
          <w:lang w:val="en-US"/>
        </w:rPr>
        <w:t>forms</w:t>
      </w:r>
      <w:r>
        <w:rPr>
          <w:rFonts w:ascii="Arial" w:eastAsia="Times New Roman" w:hAnsi="Arial" w:cs="Arial"/>
          <w:sz w:val="20"/>
          <w:szCs w:val="20"/>
          <w:lang w:val="en-US"/>
        </w:rPr>
        <w:t xml:space="preserve"> will need to </w:t>
      </w:r>
      <w:r w:rsidR="00D71151" w:rsidRPr="00D71151">
        <w:rPr>
          <w:rFonts w:ascii="Arial" w:eastAsia="Times New Roman" w:hAnsi="Arial" w:cs="Arial"/>
          <w:sz w:val="20"/>
          <w:szCs w:val="20"/>
          <w:lang w:val="en-US"/>
        </w:rPr>
        <w:t xml:space="preserve">be completed by the agency/persons responsible for conducting the consultation and a copy provided to MIMIP Project Manager </w:t>
      </w:r>
      <w:r w:rsidR="00D71151" w:rsidRPr="00D71151">
        <w:rPr>
          <w:rFonts w:ascii="Arial" w:eastAsia="Times New Roman" w:hAnsi="Arial" w:cs="Arial"/>
          <w:sz w:val="20"/>
          <w:szCs w:val="20"/>
          <w:u w:val="single"/>
          <w:lang w:val="en-US"/>
        </w:rPr>
        <w:t>within 5 working days</w:t>
      </w:r>
      <w:r w:rsidR="00D71151" w:rsidRPr="00D71151">
        <w:rPr>
          <w:rFonts w:ascii="Arial" w:eastAsia="Times New Roman" w:hAnsi="Arial" w:cs="Arial"/>
          <w:sz w:val="20"/>
          <w:szCs w:val="20"/>
          <w:lang w:val="en-US"/>
        </w:rPr>
        <w:t xml:space="preserve"> following the event. The Project Manager will then: </w:t>
      </w:r>
      <w:proofErr w:type="spellStart"/>
      <w:r w:rsidR="00D71151" w:rsidRPr="00D71151">
        <w:rPr>
          <w:rFonts w:ascii="Arial" w:eastAsia="Times New Roman" w:hAnsi="Arial" w:cs="Arial"/>
          <w:sz w:val="20"/>
          <w:szCs w:val="20"/>
          <w:lang w:val="en-US"/>
        </w:rPr>
        <w:t>i</w:t>
      </w:r>
      <w:proofErr w:type="spellEnd"/>
      <w:r w:rsidR="00D71151" w:rsidRPr="00D71151">
        <w:rPr>
          <w:rFonts w:ascii="Arial" w:eastAsia="Times New Roman" w:hAnsi="Arial" w:cs="Arial"/>
          <w:sz w:val="20"/>
          <w:szCs w:val="20"/>
          <w:lang w:val="en-US"/>
        </w:rPr>
        <w:t xml:space="preserve">) ensure </w:t>
      </w:r>
      <w:r w:rsidR="00FF70B5">
        <w:rPr>
          <w:rFonts w:ascii="Arial" w:eastAsia="Times New Roman" w:hAnsi="Arial" w:cs="Arial"/>
          <w:sz w:val="20"/>
          <w:szCs w:val="20"/>
          <w:lang w:val="en-US"/>
        </w:rPr>
        <w:t xml:space="preserve">any required </w:t>
      </w:r>
      <w:r w:rsidR="00D71151" w:rsidRPr="00D71151">
        <w:rPr>
          <w:rFonts w:ascii="Arial" w:eastAsia="Times New Roman" w:hAnsi="Arial" w:cs="Arial"/>
          <w:sz w:val="20"/>
          <w:szCs w:val="20"/>
          <w:lang w:val="en-US"/>
        </w:rPr>
        <w:t xml:space="preserve">follow-up actions are carried </w:t>
      </w:r>
      <w:r w:rsidR="0040136D">
        <w:rPr>
          <w:rFonts w:ascii="Arial" w:eastAsia="Times New Roman" w:hAnsi="Arial" w:cs="Arial"/>
          <w:sz w:val="20"/>
          <w:szCs w:val="20"/>
          <w:lang w:val="en-US"/>
        </w:rPr>
        <w:t xml:space="preserve">out </w:t>
      </w:r>
      <w:r w:rsidR="00D71151" w:rsidRPr="00D71151">
        <w:rPr>
          <w:rFonts w:ascii="Arial" w:eastAsia="Times New Roman" w:hAnsi="Arial" w:cs="Arial"/>
          <w:sz w:val="20"/>
          <w:szCs w:val="20"/>
          <w:lang w:val="en-US"/>
        </w:rPr>
        <w:t xml:space="preserve">in a timely manner, ii) file the </w:t>
      </w:r>
      <w:r w:rsidR="00FF70B5">
        <w:rPr>
          <w:rFonts w:ascii="Arial" w:eastAsia="Times New Roman" w:hAnsi="Arial" w:cs="Arial"/>
          <w:sz w:val="20"/>
          <w:szCs w:val="20"/>
          <w:lang w:val="en-US"/>
        </w:rPr>
        <w:t>consultation report</w:t>
      </w:r>
      <w:r w:rsidR="00D71151" w:rsidRPr="00D71151">
        <w:rPr>
          <w:rFonts w:ascii="Arial" w:eastAsia="Times New Roman" w:hAnsi="Arial" w:cs="Arial"/>
          <w:sz w:val="20"/>
          <w:szCs w:val="20"/>
          <w:lang w:val="en-US"/>
        </w:rPr>
        <w:t xml:space="preserve"> in the Project Stakeholder Engagement Registry housed at the Project Implementation Unit (PIU), and iii) forward a copy to the CIU Safeguard Team.  </w:t>
      </w:r>
    </w:p>
    <w:p w14:paraId="71284917" w14:textId="4BEC29DF" w:rsidR="003D6734" w:rsidRPr="00D929FB" w:rsidRDefault="00886041" w:rsidP="00886041">
      <w:pPr>
        <w:ind w:right="-589"/>
        <w:rPr>
          <w:rFonts w:ascii="Arial" w:eastAsia="Calibri" w:hAnsi="Arial" w:cs="Arial"/>
          <w:sz w:val="20"/>
          <w:szCs w:val="20"/>
          <w:lang w:val="en-US"/>
        </w:rPr>
      </w:pPr>
      <w:r>
        <w:rPr>
          <w:rFonts w:ascii="Arial" w:eastAsia="Calibri" w:hAnsi="Arial" w:cs="Arial"/>
          <w:sz w:val="20"/>
          <w:szCs w:val="20"/>
          <w:lang w:val="en-US"/>
        </w:rPr>
        <w:t>The CIU Safeguards Team is responsible to ensure that</w:t>
      </w:r>
      <w:r w:rsidR="0040136D">
        <w:rPr>
          <w:rFonts w:ascii="Arial" w:eastAsia="Calibri" w:hAnsi="Arial" w:cs="Arial"/>
          <w:sz w:val="20"/>
          <w:szCs w:val="20"/>
          <w:lang w:val="en-US"/>
        </w:rPr>
        <w:t xml:space="preserve"> </w:t>
      </w:r>
      <w:r>
        <w:rPr>
          <w:rFonts w:ascii="Arial" w:eastAsia="Calibri" w:hAnsi="Arial" w:cs="Arial"/>
          <w:sz w:val="20"/>
          <w:szCs w:val="20"/>
          <w:lang w:val="en-US"/>
        </w:rPr>
        <w:t>all MIMIP E&amp;S documents</w:t>
      </w:r>
      <w:r w:rsidR="0033022C" w:rsidRPr="00D929FB">
        <w:rPr>
          <w:rFonts w:ascii="Arial" w:eastAsia="Calibri" w:hAnsi="Arial" w:cs="Arial"/>
          <w:sz w:val="20"/>
          <w:szCs w:val="20"/>
          <w:lang w:val="en-US"/>
        </w:rPr>
        <w:t xml:space="preserve"> </w:t>
      </w:r>
      <w:r>
        <w:rPr>
          <w:rFonts w:ascii="Arial" w:eastAsia="Calibri" w:hAnsi="Arial" w:cs="Arial"/>
          <w:sz w:val="20"/>
          <w:szCs w:val="20"/>
          <w:lang w:val="en-US"/>
        </w:rPr>
        <w:t xml:space="preserve">are publicly </w:t>
      </w:r>
      <w:r w:rsidRPr="00D929FB">
        <w:rPr>
          <w:rFonts w:ascii="Arial" w:eastAsia="Calibri" w:hAnsi="Arial" w:cs="Arial"/>
          <w:sz w:val="20"/>
          <w:szCs w:val="20"/>
          <w:lang w:val="en-US"/>
        </w:rPr>
        <w:t>disclos</w:t>
      </w:r>
      <w:r>
        <w:rPr>
          <w:rFonts w:ascii="Arial" w:eastAsia="Calibri" w:hAnsi="Arial" w:cs="Arial"/>
          <w:sz w:val="20"/>
          <w:szCs w:val="20"/>
          <w:lang w:val="en-US"/>
        </w:rPr>
        <w:t>ed</w:t>
      </w:r>
      <w:r w:rsidR="00ED4C78">
        <w:rPr>
          <w:rFonts w:ascii="Arial" w:eastAsia="Calibri" w:hAnsi="Arial" w:cs="Arial"/>
          <w:sz w:val="20"/>
          <w:szCs w:val="20"/>
          <w:lang w:val="en-US"/>
        </w:rPr>
        <w:t xml:space="preserve"> and</w:t>
      </w:r>
      <w:r w:rsidR="0040136D">
        <w:rPr>
          <w:rFonts w:ascii="Arial" w:eastAsia="Calibri" w:hAnsi="Arial" w:cs="Arial"/>
          <w:sz w:val="20"/>
          <w:szCs w:val="20"/>
          <w:lang w:val="en-US"/>
        </w:rPr>
        <w:t xml:space="preserve"> t</w:t>
      </w:r>
      <w:r w:rsidR="00ED4C78">
        <w:rPr>
          <w:rFonts w:ascii="Arial" w:eastAsia="Calibri" w:hAnsi="Arial" w:cs="Arial"/>
          <w:sz w:val="20"/>
          <w:szCs w:val="20"/>
          <w:lang w:val="en-US"/>
        </w:rPr>
        <w:t>hat any complaints about the project are addressed according to the MIMIP Grievance Redress Mechanism (GRM)</w:t>
      </w:r>
      <w:r w:rsidR="0040136D">
        <w:rPr>
          <w:rStyle w:val="FootnoteReference"/>
          <w:rFonts w:ascii="Arial" w:eastAsia="Calibri" w:hAnsi="Arial" w:cs="Arial"/>
          <w:sz w:val="20"/>
          <w:szCs w:val="20"/>
          <w:lang w:val="en-US"/>
        </w:rPr>
        <w:footnoteReference w:id="3"/>
      </w:r>
      <w:r w:rsidR="0040136D">
        <w:rPr>
          <w:rFonts w:ascii="Arial" w:eastAsia="Calibri" w:hAnsi="Arial" w:cs="Arial"/>
          <w:sz w:val="20"/>
          <w:szCs w:val="20"/>
          <w:lang w:val="en-US"/>
        </w:rPr>
        <w:t xml:space="preserve">. </w:t>
      </w:r>
      <w:r w:rsidR="0033022C" w:rsidRPr="00D929FB">
        <w:rPr>
          <w:rFonts w:ascii="Arial" w:eastAsia="Calibri" w:hAnsi="Arial" w:cs="Arial"/>
          <w:sz w:val="20"/>
          <w:szCs w:val="20"/>
          <w:lang w:val="en-US"/>
        </w:rPr>
        <w:t xml:space="preserve">Stakeholder engagement </w:t>
      </w:r>
      <w:r w:rsidR="003D6734" w:rsidRPr="00D929FB">
        <w:rPr>
          <w:rFonts w:ascii="Arial" w:eastAsia="Calibri" w:hAnsi="Arial" w:cs="Arial"/>
          <w:sz w:val="20"/>
          <w:szCs w:val="20"/>
          <w:lang w:val="en-US"/>
        </w:rPr>
        <w:t xml:space="preserve">will </w:t>
      </w:r>
      <w:r w:rsidR="0033022C" w:rsidRPr="00D929FB">
        <w:rPr>
          <w:rFonts w:ascii="Arial" w:eastAsia="Calibri" w:hAnsi="Arial" w:cs="Arial"/>
          <w:sz w:val="20"/>
          <w:szCs w:val="20"/>
          <w:lang w:val="en-US"/>
        </w:rPr>
        <w:t>be periodically evaluated by senior management</w:t>
      </w:r>
      <w:r w:rsidR="00C1045B" w:rsidRPr="00D929FB">
        <w:rPr>
          <w:rFonts w:ascii="Arial" w:eastAsia="Calibri" w:hAnsi="Arial" w:cs="Arial"/>
          <w:sz w:val="20"/>
          <w:szCs w:val="20"/>
          <w:lang w:val="en-US"/>
        </w:rPr>
        <w:t xml:space="preserve"> of DIDA, </w:t>
      </w:r>
      <w:r w:rsidR="0093512F" w:rsidRPr="00D929FB">
        <w:rPr>
          <w:rFonts w:ascii="Arial" w:eastAsia="Calibri" w:hAnsi="Arial" w:cs="Arial"/>
          <w:sz w:val="20"/>
          <w:szCs w:val="20"/>
          <w:lang w:val="en-US"/>
        </w:rPr>
        <w:t>MoT&amp;C</w:t>
      </w:r>
      <w:r w:rsidR="00C1045B" w:rsidRPr="00D929FB">
        <w:rPr>
          <w:rFonts w:ascii="Arial" w:eastAsia="Calibri" w:hAnsi="Arial" w:cs="Arial"/>
          <w:sz w:val="20"/>
          <w:szCs w:val="20"/>
          <w:lang w:val="en-US"/>
        </w:rPr>
        <w:t xml:space="preserve"> and RMIPA</w:t>
      </w:r>
      <w:r w:rsidR="00F962DD" w:rsidRPr="00D929FB">
        <w:rPr>
          <w:rFonts w:ascii="Arial" w:eastAsia="Calibri" w:hAnsi="Arial" w:cs="Arial"/>
          <w:sz w:val="20"/>
          <w:szCs w:val="20"/>
          <w:lang w:val="en-US"/>
        </w:rPr>
        <w:t xml:space="preserve">. </w:t>
      </w:r>
    </w:p>
    <w:p w14:paraId="09FC8605" w14:textId="0AF52B52" w:rsidR="00071A00" w:rsidRPr="00D929FB" w:rsidRDefault="0040136D" w:rsidP="00D929FB">
      <w:pPr>
        <w:ind w:right="-589"/>
        <w:rPr>
          <w:rFonts w:ascii="Arial" w:eastAsia="Calibri" w:hAnsi="Arial" w:cs="Arial"/>
          <w:sz w:val="20"/>
          <w:szCs w:val="20"/>
          <w:lang w:val="en-US"/>
        </w:rPr>
      </w:pPr>
      <w:r>
        <w:rPr>
          <w:rFonts w:ascii="Arial" w:eastAsia="Calibri" w:hAnsi="Arial" w:cs="Arial"/>
          <w:sz w:val="20"/>
          <w:szCs w:val="20"/>
          <w:lang w:val="en-US"/>
        </w:rPr>
        <w:t>MIMIP s</w:t>
      </w:r>
      <w:r w:rsidR="0033022C" w:rsidRPr="00D929FB">
        <w:rPr>
          <w:rFonts w:ascii="Arial" w:eastAsia="Calibri" w:hAnsi="Arial" w:cs="Arial"/>
          <w:sz w:val="20"/>
          <w:szCs w:val="20"/>
          <w:lang w:val="en-US"/>
        </w:rPr>
        <w:t>ix-monthly report</w:t>
      </w:r>
      <w:r>
        <w:rPr>
          <w:rFonts w:ascii="Arial" w:eastAsia="Calibri" w:hAnsi="Arial" w:cs="Arial"/>
          <w:sz w:val="20"/>
          <w:szCs w:val="20"/>
          <w:lang w:val="en-US"/>
        </w:rPr>
        <w:t>s</w:t>
      </w:r>
      <w:r w:rsidR="0033022C" w:rsidRPr="00D929FB">
        <w:rPr>
          <w:rFonts w:ascii="Arial" w:eastAsia="Calibri" w:hAnsi="Arial" w:cs="Arial"/>
          <w:sz w:val="20"/>
          <w:szCs w:val="20"/>
          <w:lang w:val="en-US"/>
        </w:rPr>
        <w:t xml:space="preserve"> </w:t>
      </w:r>
      <w:r w:rsidR="00763D38" w:rsidRPr="00D929FB">
        <w:rPr>
          <w:rFonts w:ascii="Arial" w:eastAsia="Calibri" w:hAnsi="Arial" w:cs="Arial"/>
          <w:sz w:val="20"/>
          <w:szCs w:val="20"/>
          <w:lang w:val="en-US"/>
        </w:rPr>
        <w:t xml:space="preserve">on </w:t>
      </w:r>
      <w:r>
        <w:rPr>
          <w:rFonts w:ascii="Arial" w:eastAsia="Calibri" w:hAnsi="Arial" w:cs="Arial"/>
          <w:sz w:val="20"/>
          <w:szCs w:val="20"/>
          <w:lang w:val="en-US"/>
        </w:rPr>
        <w:t xml:space="preserve">project </w:t>
      </w:r>
      <w:r w:rsidR="00763D38" w:rsidRPr="00D929FB">
        <w:rPr>
          <w:rFonts w:ascii="Arial" w:eastAsia="Calibri" w:hAnsi="Arial" w:cs="Arial"/>
          <w:sz w:val="20"/>
          <w:szCs w:val="20"/>
          <w:lang w:val="en-US"/>
        </w:rPr>
        <w:t xml:space="preserve">progress </w:t>
      </w:r>
      <w:r>
        <w:rPr>
          <w:rFonts w:ascii="Arial" w:eastAsia="Calibri" w:hAnsi="Arial" w:cs="Arial"/>
          <w:sz w:val="20"/>
          <w:szCs w:val="20"/>
          <w:lang w:val="en-US"/>
        </w:rPr>
        <w:t xml:space="preserve">will summarize all stakeholder engagement activities carried out during </w:t>
      </w:r>
      <w:r w:rsidR="00FF70B5">
        <w:rPr>
          <w:rFonts w:ascii="Arial" w:eastAsia="Calibri" w:hAnsi="Arial" w:cs="Arial"/>
          <w:sz w:val="20"/>
          <w:szCs w:val="20"/>
          <w:lang w:val="en-US"/>
        </w:rPr>
        <w:t>that period</w:t>
      </w:r>
      <w:r>
        <w:rPr>
          <w:rFonts w:ascii="Arial" w:eastAsia="Calibri" w:hAnsi="Arial" w:cs="Arial"/>
          <w:sz w:val="20"/>
          <w:szCs w:val="20"/>
          <w:lang w:val="en-US"/>
        </w:rPr>
        <w:t xml:space="preserve"> </w:t>
      </w:r>
      <w:r w:rsidR="00FF70B5">
        <w:rPr>
          <w:rFonts w:ascii="Arial" w:eastAsia="Calibri" w:hAnsi="Arial" w:cs="Arial"/>
          <w:sz w:val="20"/>
          <w:szCs w:val="20"/>
          <w:lang w:val="en-US"/>
        </w:rPr>
        <w:t>including details on any issues raised and how they were or are being resolved</w:t>
      </w:r>
      <w:r w:rsidR="0033022C" w:rsidRPr="00D929FB">
        <w:rPr>
          <w:rFonts w:ascii="Arial" w:eastAsia="Calibri" w:hAnsi="Arial" w:cs="Arial"/>
          <w:sz w:val="20"/>
          <w:szCs w:val="20"/>
          <w:lang w:val="en-US"/>
        </w:rPr>
        <w:t xml:space="preserve">. </w:t>
      </w:r>
      <w:r w:rsidR="00763D38" w:rsidRPr="00D929FB">
        <w:rPr>
          <w:rFonts w:ascii="Arial" w:eastAsia="Calibri" w:hAnsi="Arial" w:cs="Arial"/>
          <w:sz w:val="20"/>
          <w:szCs w:val="20"/>
          <w:lang w:val="en-US"/>
        </w:rPr>
        <w:t xml:space="preserve">This reporting will be the </w:t>
      </w:r>
      <w:r w:rsidR="002E1758" w:rsidRPr="00D929FB">
        <w:rPr>
          <w:rFonts w:ascii="Arial" w:eastAsia="Calibri" w:hAnsi="Arial" w:cs="Arial"/>
          <w:sz w:val="20"/>
          <w:szCs w:val="20"/>
          <w:lang w:val="en-US"/>
        </w:rPr>
        <w:t>responsibility</w:t>
      </w:r>
      <w:r w:rsidR="00763D38" w:rsidRPr="00D929FB">
        <w:rPr>
          <w:rFonts w:ascii="Arial" w:eastAsia="Calibri" w:hAnsi="Arial" w:cs="Arial"/>
          <w:sz w:val="20"/>
          <w:szCs w:val="20"/>
          <w:lang w:val="en-US"/>
        </w:rPr>
        <w:t xml:space="preserve"> of the CIU Safeguards Team in consultation with the MIMIP Project Manager.  Wherever practicable, </w:t>
      </w:r>
      <w:r w:rsidR="0033022C" w:rsidRPr="00D929FB">
        <w:rPr>
          <w:rFonts w:ascii="Arial" w:eastAsia="Calibri" w:hAnsi="Arial" w:cs="Arial"/>
          <w:sz w:val="20"/>
          <w:szCs w:val="20"/>
          <w:lang w:val="en-US"/>
        </w:rPr>
        <w:t xml:space="preserve">Stakeholders </w:t>
      </w:r>
      <w:r w:rsidR="00763D38" w:rsidRPr="00D929FB">
        <w:rPr>
          <w:rFonts w:ascii="Arial" w:eastAsia="Calibri" w:hAnsi="Arial" w:cs="Arial"/>
          <w:sz w:val="20"/>
          <w:szCs w:val="20"/>
          <w:lang w:val="en-US"/>
        </w:rPr>
        <w:t>will</w:t>
      </w:r>
      <w:r w:rsidR="0033022C" w:rsidRPr="00D929FB">
        <w:rPr>
          <w:rFonts w:ascii="Arial" w:eastAsia="Calibri" w:hAnsi="Arial" w:cs="Arial"/>
          <w:sz w:val="20"/>
          <w:szCs w:val="20"/>
          <w:lang w:val="en-US"/>
        </w:rPr>
        <w:t xml:space="preserve"> be reminded of the availability of the grievance mechanism.</w:t>
      </w:r>
    </w:p>
    <w:p w14:paraId="2BDD4E24" w14:textId="3DC0BE5A" w:rsidR="00EC6474" w:rsidRDefault="00EC6474" w:rsidP="00D71151">
      <w:pPr>
        <w:pStyle w:val="Heading2"/>
      </w:pPr>
      <w:bookmarkStart w:id="18" w:name="_Toc98072626"/>
      <w:r>
        <w:t>Review</w:t>
      </w:r>
      <w:bookmarkEnd w:id="18"/>
    </w:p>
    <w:p w14:paraId="26534502" w14:textId="376D9E6E" w:rsidR="00EC6474" w:rsidRPr="00D71151" w:rsidRDefault="00EC6474" w:rsidP="00D71151">
      <w:pPr>
        <w:ind w:right="-589"/>
        <w:rPr>
          <w:rFonts w:ascii="Arial" w:hAnsi="Arial" w:cs="Arial"/>
          <w:sz w:val="20"/>
          <w:szCs w:val="20"/>
          <w:lang w:val="en-US"/>
        </w:rPr>
      </w:pPr>
      <w:r w:rsidRPr="00D71151">
        <w:rPr>
          <w:rFonts w:ascii="Arial" w:hAnsi="Arial" w:cs="Arial"/>
          <w:sz w:val="20"/>
          <w:szCs w:val="20"/>
          <w:lang w:val="en-US"/>
        </w:rPr>
        <w:t>This Stakeholder Engagement Action Plan will be reviewed and updated annually or more frequently if Project activities change from those contemplated in the present version of the Plan.</w:t>
      </w:r>
    </w:p>
    <w:p w14:paraId="65A865BF" w14:textId="108E074F" w:rsidR="00071A00" w:rsidRDefault="003D6734" w:rsidP="00D71151">
      <w:pPr>
        <w:pStyle w:val="Heading2"/>
      </w:pPr>
      <w:bookmarkStart w:id="19" w:name="_Toc98072627"/>
      <w:r>
        <w:t>Stakeholder Groups</w:t>
      </w:r>
      <w:bookmarkEnd w:id="19"/>
    </w:p>
    <w:p w14:paraId="33BB1972" w14:textId="41D98EDC" w:rsidR="003D6734" w:rsidRPr="00D71151" w:rsidRDefault="005E70D9" w:rsidP="00D71151">
      <w:pPr>
        <w:ind w:right="-731"/>
        <w:rPr>
          <w:rFonts w:ascii="Arial" w:hAnsi="Arial" w:cs="Arial"/>
          <w:sz w:val="20"/>
          <w:szCs w:val="20"/>
          <w:lang w:val="en-US"/>
        </w:rPr>
      </w:pPr>
      <w:r w:rsidRPr="00D71151">
        <w:rPr>
          <w:rFonts w:ascii="Arial" w:hAnsi="Arial" w:cs="Arial"/>
          <w:sz w:val="20"/>
          <w:szCs w:val="20"/>
          <w:lang w:val="en-US"/>
        </w:rPr>
        <w:t>The SEP identifie</w:t>
      </w:r>
      <w:r w:rsidR="00807F1E" w:rsidRPr="00D71151">
        <w:rPr>
          <w:rFonts w:ascii="Arial" w:hAnsi="Arial" w:cs="Arial"/>
          <w:sz w:val="20"/>
          <w:szCs w:val="20"/>
          <w:lang w:val="en-US"/>
        </w:rPr>
        <w:t>s</w:t>
      </w:r>
      <w:r w:rsidRPr="00D71151">
        <w:rPr>
          <w:rFonts w:ascii="Arial" w:hAnsi="Arial" w:cs="Arial"/>
          <w:sz w:val="20"/>
          <w:szCs w:val="20"/>
          <w:lang w:val="en-US"/>
        </w:rPr>
        <w:t xml:space="preserve"> a </w:t>
      </w:r>
      <w:r w:rsidR="00807F1E" w:rsidRPr="00D71151">
        <w:rPr>
          <w:rFonts w:ascii="Arial" w:hAnsi="Arial" w:cs="Arial"/>
          <w:sz w:val="20"/>
          <w:szCs w:val="20"/>
          <w:lang w:val="en-US"/>
        </w:rPr>
        <w:t xml:space="preserve">wide </w:t>
      </w:r>
      <w:r w:rsidRPr="00D71151">
        <w:rPr>
          <w:rFonts w:ascii="Arial" w:hAnsi="Arial" w:cs="Arial"/>
          <w:sz w:val="20"/>
          <w:szCs w:val="20"/>
          <w:lang w:val="en-US"/>
        </w:rPr>
        <w:t xml:space="preserve">range of </w:t>
      </w:r>
      <w:r w:rsidR="00F83580" w:rsidRPr="00D71151">
        <w:rPr>
          <w:rFonts w:ascii="Arial" w:hAnsi="Arial" w:cs="Arial"/>
          <w:sz w:val="20"/>
          <w:szCs w:val="20"/>
          <w:lang w:val="en-US"/>
        </w:rPr>
        <w:t xml:space="preserve">stakeholder groups </w:t>
      </w:r>
      <w:r w:rsidRPr="00D71151">
        <w:rPr>
          <w:rFonts w:ascii="Arial" w:hAnsi="Arial" w:cs="Arial"/>
          <w:sz w:val="20"/>
          <w:szCs w:val="20"/>
          <w:lang w:val="en-US"/>
        </w:rPr>
        <w:t xml:space="preserve">who </w:t>
      </w:r>
      <w:r w:rsidR="00A323BC" w:rsidRPr="00D71151">
        <w:rPr>
          <w:rFonts w:ascii="Arial" w:hAnsi="Arial" w:cs="Arial"/>
          <w:sz w:val="20"/>
          <w:szCs w:val="20"/>
          <w:lang w:val="en-US"/>
        </w:rPr>
        <w:t xml:space="preserve">will be consulted with </w:t>
      </w:r>
      <w:r w:rsidRPr="00D71151">
        <w:rPr>
          <w:rFonts w:ascii="Arial" w:hAnsi="Arial" w:cs="Arial"/>
          <w:sz w:val="20"/>
          <w:szCs w:val="20"/>
          <w:lang w:val="en-US"/>
        </w:rPr>
        <w:t xml:space="preserve">during </w:t>
      </w:r>
      <w:r w:rsidR="00A323BC" w:rsidRPr="00D71151">
        <w:rPr>
          <w:rFonts w:ascii="Arial" w:hAnsi="Arial" w:cs="Arial"/>
          <w:sz w:val="20"/>
          <w:szCs w:val="20"/>
          <w:lang w:val="en-US"/>
        </w:rPr>
        <w:t>project implementation.</w:t>
      </w:r>
      <w:r w:rsidRPr="00D71151">
        <w:rPr>
          <w:rFonts w:ascii="Arial" w:hAnsi="Arial" w:cs="Arial"/>
          <w:sz w:val="20"/>
          <w:szCs w:val="20"/>
          <w:lang w:val="en-US"/>
        </w:rPr>
        <w:t xml:space="preserve"> </w:t>
      </w:r>
    </w:p>
    <w:p w14:paraId="149F5A96" w14:textId="7C8CB5E8" w:rsidR="00807F1E" w:rsidRPr="00D71151" w:rsidRDefault="005E70D9" w:rsidP="00D71151">
      <w:pPr>
        <w:ind w:right="-731"/>
        <w:rPr>
          <w:rFonts w:ascii="Arial" w:hAnsi="Arial" w:cs="Arial"/>
          <w:sz w:val="20"/>
          <w:szCs w:val="20"/>
        </w:rPr>
      </w:pPr>
      <w:r w:rsidRPr="00D71151">
        <w:rPr>
          <w:rFonts w:ascii="Arial" w:hAnsi="Arial" w:cs="Arial"/>
          <w:sz w:val="20"/>
          <w:szCs w:val="20"/>
        </w:rPr>
        <w:t xml:space="preserve">The following table sets out a list of </w:t>
      </w:r>
      <w:r w:rsidR="00524A7D" w:rsidRPr="00D71151">
        <w:rPr>
          <w:rFonts w:ascii="Arial" w:hAnsi="Arial" w:cs="Arial"/>
          <w:sz w:val="20"/>
          <w:szCs w:val="20"/>
        </w:rPr>
        <w:t xml:space="preserve">targeted </w:t>
      </w:r>
      <w:r w:rsidRPr="00D71151">
        <w:rPr>
          <w:rFonts w:ascii="Arial" w:hAnsi="Arial" w:cs="Arial"/>
          <w:sz w:val="20"/>
          <w:szCs w:val="20"/>
        </w:rPr>
        <w:t xml:space="preserve">stakeholder groups who will be consulted with based on activities set out in the </w:t>
      </w:r>
      <w:r w:rsidR="007F6069" w:rsidRPr="00D71151">
        <w:rPr>
          <w:rFonts w:ascii="Arial" w:hAnsi="Arial" w:cs="Arial"/>
          <w:sz w:val="20"/>
          <w:szCs w:val="20"/>
        </w:rPr>
        <w:t xml:space="preserve">detailed work plan for </w:t>
      </w:r>
      <w:r w:rsidR="002042A5" w:rsidRPr="00D71151">
        <w:rPr>
          <w:rFonts w:ascii="Arial" w:hAnsi="Arial" w:cs="Arial"/>
          <w:sz w:val="20"/>
          <w:szCs w:val="20"/>
        </w:rPr>
        <w:t>202</w:t>
      </w:r>
      <w:r w:rsidR="00227885">
        <w:rPr>
          <w:rFonts w:ascii="Arial" w:hAnsi="Arial" w:cs="Arial"/>
          <w:sz w:val="20"/>
          <w:szCs w:val="20"/>
        </w:rPr>
        <w:t>2</w:t>
      </w:r>
      <w:r w:rsidR="002042A5" w:rsidRPr="00D71151">
        <w:rPr>
          <w:rFonts w:ascii="Arial" w:hAnsi="Arial" w:cs="Arial"/>
          <w:sz w:val="20"/>
          <w:szCs w:val="20"/>
        </w:rPr>
        <w:t>/202</w:t>
      </w:r>
      <w:r w:rsidR="00227885">
        <w:rPr>
          <w:rFonts w:ascii="Arial" w:hAnsi="Arial" w:cs="Arial"/>
          <w:sz w:val="20"/>
          <w:szCs w:val="20"/>
        </w:rPr>
        <w:t>3</w:t>
      </w:r>
    </w:p>
    <w:p w14:paraId="35A6DF5B" w14:textId="7A8B9B10" w:rsidR="00807F1E" w:rsidRDefault="00807F1E" w:rsidP="003D6734">
      <w:pPr>
        <w:sectPr w:rsidR="00807F1E" w:rsidSect="00961256">
          <w:footerReference w:type="default" r:id="rId10"/>
          <w:pgSz w:w="11906" w:h="16838" w:code="9"/>
          <w:pgMar w:top="1440" w:right="1983" w:bottom="1440" w:left="1440" w:header="709" w:footer="709" w:gutter="0"/>
          <w:pgNumType w:start="1"/>
          <w:cols w:space="708"/>
          <w:docGrid w:linePitch="360"/>
        </w:sectPr>
      </w:pPr>
    </w:p>
    <w:tbl>
      <w:tblPr>
        <w:tblStyle w:val="TableGrid"/>
        <w:tblW w:w="13821" w:type="dxa"/>
        <w:tblInd w:w="66" w:type="dxa"/>
        <w:tblLook w:val="04A0" w:firstRow="1" w:lastRow="0" w:firstColumn="1" w:lastColumn="0" w:noHBand="0" w:noVBand="1"/>
      </w:tblPr>
      <w:tblGrid>
        <w:gridCol w:w="8009"/>
        <w:gridCol w:w="5812"/>
      </w:tblGrid>
      <w:tr w:rsidR="00807F1E" w:rsidRPr="00D66FA9" w14:paraId="569D9563" w14:textId="77777777" w:rsidTr="00FF70B5">
        <w:trPr>
          <w:tblHeader/>
        </w:trPr>
        <w:tc>
          <w:tcPr>
            <w:tcW w:w="8009" w:type="dxa"/>
            <w:shd w:val="clear" w:color="auto" w:fill="B4C6E7" w:themeFill="accent5" w:themeFillTint="66"/>
          </w:tcPr>
          <w:p w14:paraId="7C81BC4B" w14:textId="77777777" w:rsidR="00807F1E" w:rsidRPr="0040136D" w:rsidRDefault="00807F1E" w:rsidP="0040136D">
            <w:pPr>
              <w:spacing w:after="60"/>
              <w:jc w:val="center"/>
              <w:rPr>
                <w:rFonts w:eastAsia="Calibri" w:cs="Times New Roman"/>
                <w:b/>
                <w:bCs/>
              </w:rPr>
            </w:pPr>
            <w:r w:rsidRPr="0040136D">
              <w:rPr>
                <w:rFonts w:eastAsia="Calibri" w:cs="Times New Roman"/>
                <w:b/>
                <w:bCs/>
              </w:rPr>
              <w:lastRenderedPageBreak/>
              <w:t>Activity from workplan</w:t>
            </w:r>
          </w:p>
        </w:tc>
        <w:tc>
          <w:tcPr>
            <w:tcW w:w="5812" w:type="dxa"/>
            <w:shd w:val="clear" w:color="auto" w:fill="B4C6E7" w:themeFill="accent5" w:themeFillTint="66"/>
          </w:tcPr>
          <w:p w14:paraId="1821754C" w14:textId="77777777" w:rsidR="00807F1E" w:rsidRPr="0040136D" w:rsidRDefault="00807F1E" w:rsidP="0040136D">
            <w:pPr>
              <w:spacing w:after="60"/>
              <w:jc w:val="center"/>
              <w:rPr>
                <w:rFonts w:eastAsia="Calibri" w:cs="Times New Roman"/>
                <w:b/>
                <w:bCs/>
              </w:rPr>
            </w:pPr>
            <w:r w:rsidRPr="0040136D">
              <w:rPr>
                <w:rFonts w:eastAsia="Calibri" w:cs="Times New Roman"/>
                <w:b/>
                <w:bCs/>
              </w:rPr>
              <w:t>Associated Stakeholder Groups</w:t>
            </w:r>
          </w:p>
        </w:tc>
      </w:tr>
      <w:tr w:rsidR="00807F1E" w:rsidRPr="00D66FA9" w14:paraId="6C980D1C" w14:textId="77777777" w:rsidTr="00FF70B5">
        <w:tc>
          <w:tcPr>
            <w:tcW w:w="8009" w:type="dxa"/>
          </w:tcPr>
          <w:p w14:paraId="7678DA51" w14:textId="77777777" w:rsidR="00807F1E" w:rsidRPr="00D66FA9" w:rsidRDefault="00807F1E" w:rsidP="00807F1E">
            <w:pPr>
              <w:spacing w:after="60"/>
              <w:rPr>
                <w:rFonts w:eastAsia="Calibri" w:cs="Times New Roman"/>
                <w:sz w:val="20"/>
                <w:szCs w:val="20"/>
              </w:rPr>
            </w:pPr>
            <w:r w:rsidRPr="00D66FA9">
              <w:rPr>
                <w:rFonts w:eastAsia="Calibri" w:cs="Times New Roman"/>
                <w:sz w:val="20"/>
                <w:szCs w:val="20"/>
              </w:rPr>
              <w:t xml:space="preserve">GRM Operationalization </w:t>
            </w:r>
          </w:p>
        </w:tc>
        <w:tc>
          <w:tcPr>
            <w:tcW w:w="5812" w:type="dxa"/>
          </w:tcPr>
          <w:p w14:paraId="155C5016" w14:textId="77777777" w:rsidR="00807F1E" w:rsidRDefault="00807F1E" w:rsidP="00807F1E">
            <w:pPr>
              <w:pStyle w:val="ListParagraph"/>
              <w:numPr>
                <w:ilvl w:val="0"/>
                <w:numId w:val="14"/>
              </w:numPr>
              <w:spacing w:after="60"/>
              <w:ind w:left="319"/>
              <w:rPr>
                <w:rFonts w:eastAsia="Calibri" w:cs="Times New Roman"/>
                <w:sz w:val="20"/>
                <w:szCs w:val="20"/>
              </w:rPr>
            </w:pPr>
            <w:r w:rsidRPr="00D66FA9">
              <w:rPr>
                <w:rFonts w:eastAsia="Calibri" w:cs="Times New Roman"/>
                <w:sz w:val="20"/>
                <w:szCs w:val="20"/>
              </w:rPr>
              <w:t>RMIPA</w:t>
            </w:r>
          </w:p>
          <w:p w14:paraId="11791CCF" w14:textId="77777777" w:rsidR="00807F1E" w:rsidRPr="00D66FA9" w:rsidRDefault="00807F1E" w:rsidP="00807F1E">
            <w:pPr>
              <w:pStyle w:val="ListParagraph"/>
              <w:numPr>
                <w:ilvl w:val="0"/>
                <w:numId w:val="14"/>
              </w:numPr>
              <w:spacing w:after="60"/>
              <w:ind w:left="319"/>
              <w:rPr>
                <w:rFonts w:eastAsia="Calibri" w:cs="Times New Roman"/>
                <w:sz w:val="20"/>
                <w:szCs w:val="20"/>
              </w:rPr>
            </w:pPr>
            <w:r>
              <w:rPr>
                <w:rFonts w:eastAsia="Calibri" w:cs="Times New Roman"/>
                <w:sz w:val="20"/>
                <w:szCs w:val="20"/>
              </w:rPr>
              <w:t>All other Project partners (from SEP)</w:t>
            </w:r>
          </w:p>
          <w:p w14:paraId="6E52E93E" w14:textId="77777777" w:rsidR="00807F1E" w:rsidRPr="00D66FA9" w:rsidRDefault="00807F1E" w:rsidP="00807F1E">
            <w:pPr>
              <w:pStyle w:val="ListParagraph"/>
              <w:numPr>
                <w:ilvl w:val="0"/>
                <w:numId w:val="14"/>
              </w:numPr>
              <w:spacing w:after="0"/>
              <w:ind w:left="319"/>
              <w:jc w:val="left"/>
              <w:rPr>
                <w:rFonts w:eastAsia="Calibri" w:cs="Times New Roman"/>
                <w:sz w:val="20"/>
                <w:szCs w:val="20"/>
              </w:rPr>
            </w:pPr>
            <w:r w:rsidRPr="00D66FA9">
              <w:rPr>
                <w:rFonts w:eastAsia="Times New Roman" w:cs="Calibri"/>
                <w:bCs/>
                <w:color w:val="000000"/>
                <w:sz w:val="20"/>
                <w:szCs w:val="20"/>
                <w:lang w:eastAsia="en-MY"/>
              </w:rPr>
              <w:t>Women United Together Marshall Islands (WUTMI)</w:t>
            </w:r>
          </w:p>
          <w:p w14:paraId="7DCAEAA1" w14:textId="77777777" w:rsidR="00807F1E" w:rsidRPr="00D66FA9" w:rsidRDefault="00807F1E" w:rsidP="00807F1E">
            <w:pPr>
              <w:pStyle w:val="ListParagraph"/>
              <w:numPr>
                <w:ilvl w:val="0"/>
                <w:numId w:val="14"/>
              </w:numPr>
              <w:spacing w:after="60"/>
              <w:ind w:left="319"/>
              <w:rPr>
                <w:rFonts w:eastAsia="Calibri" w:cs="Times New Roman"/>
                <w:sz w:val="20"/>
                <w:szCs w:val="20"/>
              </w:rPr>
            </w:pPr>
            <w:r w:rsidRPr="00D66FA9">
              <w:rPr>
                <w:rFonts w:eastAsia="Calibri" w:cs="Times New Roman"/>
                <w:sz w:val="20"/>
                <w:szCs w:val="20"/>
              </w:rPr>
              <w:t>Brader community (wider engagement)</w:t>
            </w:r>
          </w:p>
        </w:tc>
      </w:tr>
      <w:tr w:rsidR="00807F1E" w:rsidRPr="00D66FA9" w14:paraId="3BDDF176" w14:textId="77777777" w:rsidTr="00FF70B5">
        <w:tc>
          <w:tcPr>
            <w:tcW w:w="8009" w:type="dxa"/>
          </w:tcPr>
          <w:p w14:paraId="203BD74C" w14:textId="39B05D1B" w:rsidR="00807F1E" w:rsidRPr="00D66FA9" w:rsidRDefault="00807F1E" w:rsidP="00807F1E">
            <w:pPr>
              <w:spacing w:after="60"/>
              <w:rPr>
                <w:rFonts w:eastAsia="Calibri" w:cs="Times New Roman"/>
                <w:sz w:val="20"/>
                <w:szCs w:val="20"/>
              </w:rPr>
            </w:pPr>
            <w:r w:rsidRPr="00D66FA9">
              <w:rPr>
                <w:rFonts w:eastAsia="Calibri" w:cs="Times New Roman"/>
                <w:sz w:val="20"/>
                <w:szCs w:val="20"/>
              </w:rPr>
              <w:t>Address feasibility of scrap material removal from Delap Dock.</w:t>
            </w:r>
          </w:p>
        </w:tc>
        <w:tc>
          <w:tcPr>
            <w:tcW w:w="5812" w:type="dxa"/>
          </w:tcPr>
          <w:p w14:paraId="32BF3648" w14:textId="77777777" w:rsidR="00807F1E" w:rsidRPr="00D66FA9" w:rsidRDefault="00807F1E" w:rsidP="00807F1E">
            <w:pPr>
              <w:pStyle w:val="ListParagraph"/>
              <w:numPr>
                <w:ilvl w:val="0"/>
                <w:numId w:val="14"/>
              </w:numPr>
              <w:spacing w:after="60"/>
              <w:ind w:left="319"/>
              <w:rPr>
                <w:sz w:val="20"/>
                <w:szCs w:val="20"/>
              </w:rPr>
            </w:pPr>
            <w:r w:rsidRPr="00D66FA9">
              <w:rPr>
                <w:sz w:val="20"/>
                <w:szCs w:val="20"/>
              </w:rPr>
              <w:t>Majuro Stevedore and Terminal Company</w:t>
            </w:r>
          </w:p>
          <w:p w14:paraId="6C92406B" w14:textId="77777777" w:rsidR="00807F1E" w:rsidRPr="00D66FA9" w:rsidRDefault="00807F1E" w:rsidP="00807F1E">
            <w:pPr>
              <w:pStyle w:val="ListParagraph"/>
              <w:numPr>
                <w:ilvl w:val="0"/>
                <w:numId w:val="14"/>
              </w:numPr>
              <w:spacing w:after="60"/>
              <w:ind w:left="319"/>
              <w:rPr>
                <w:rFonts w:eastAsia="Calibri" w:cs="Times New Roman"/>
                <w:sz w:val="20"/>
                <w:szCs w:val="20"/>
              </w:rPr>
            </w:pPr>
            <w:r w:rsidRPr="00D66FA9">
              <w:rPr>
                <w:rFonts w:eastAsia="Times New Roman" w:cs="Calibri"/>
                <w:color w:val="000000"/>
                <w:sz w:val="20"/>
                <w:szCs w:val="20"/>
                <w:lang w:eastAsia="en-MY"/>
              </w:rPr>
              <w:t>Environmental Protection Authority</w:t>
            </w:r>
          </w:p>
          <w:p w14:paraId="41BE4806" w14:textId="77777777" w:rsidR="00807F1E" w:rsidRPr="00D66FA9" w:rsidRDefault="00807F1E" w:rsidP="00807F1E">
            <w:pPr>
              <w:pStyle w:val="ListParagraph"/>
              <w:numPr>
                <w:ilvl w:val="0"/>
                <w:numId w:val="14"/>
              </w:numPr>
              <w:spacing w:after="60"/>
              <w:ind w:left="319"/>
              <w:rPr>
                <w:rFonts w:eastAsia="Calibri" w:cs="Times New Roman"/>
                <w:sz w:val="20"/>
                <w:szCs w:val="20"/>
              </w:rPr>
            </w:pPr>
            <w:r>
              <w:rPr>
                <w:rFonts w:eastAsia="Times New Roman" w:cs="Calibri"/>
                <w:color w:val="000000"/>
                <w:sz w:val="20"/>
                <w:szCs w:val="20"/>
                <w:lang w:eastAsia="en-MY"/>
              </w:rPr>
              <w:t xml:space="preserve">Majuro Waste Company </w:t>
            </w:r>
          </w:p>
        </w:tc>
      </w:tr>
      <w:tr w:rsidR="00807F1E" w:rsidRPr="00D66FA9" w14:paraId="68425C90" w14:textId="77777777" w:rsidTr="00FF70B5">
        <w:tc>
          <w:tcPr>
            <w:tcW w:w="8009" w:type="dxa"/>
          </w:tcPr>
          <w:p w14:paraId="65D18F54" w14:textId="3D2B7899" w:rsidR="00807F1E" w:rsidRPr="00D66FA9" w:rsidRDefault="00807F1E" w:rsidP="00807F1E">
            <w:pPr>
              <w:spacing w:after="60"/>
              <w:rPr>
                <w:rFonts w:eastAsia="Calibri" w:cs="Times New Roman"/>
                <w:sz w:val="20"/>
                <w:szCs w:val="20"/>
              </w:rPr>
            </w:pPr>
            <w:r w:rsidRPr="00D66FA9">
              <w:rPr>
                <w:rFonts w:eastAsia="Calibri" w:cs="Times New Roman"/>
                <w:sz w:val="20"/>
                <w:szCs w:val="20"/>
              </w:rPr>
              <w:t>The Ports Strategic Development Planning consultancy work.</w:t>
            </w:r>
          </w:p>
        </w:tc>
        <w:tc>
          <w:tcPr>
            <w:tcW w:w="5812" w:type="dxa"/>
          </w:tcPr>
          <w:p w14:paraId="33746B73" w14:textId="77777777" w:rsidR="00807F1E" w:rsidRDefault="00807F1E" w:rsidP="00807F1E">
            <w:pPr>
              <w:pStyle w:val="ListParagraph"/>
              <w:numPr>
                <w:ilvl w:val="0"/>
                <w:numId w:val="14"/>
              </w:numPr>
              <w:spacing w:after="60"/>
              <w:ind w:left="319"/>
              <w:rPr>
                <w:sz w:val="20"/>
                <w:szCs w:val="20"/>
              </w:rPr>
            </w:pPr>
            <w:r w:rsidRPr="00710373">
              <w:rPr>
                <w:sz w:val="20"/>
                <w:szCs w:val="20"/>
              </w:rPr>
              <w:t>To be confirmed once Inception Report provided by consultants</w:t>
            </w:r>
          </w:p>
          <w:p w14:paraId="144ADDC4" w14:textId="77777777" w:rsidR="00807F1E" w:rsidRDefault="00807F1E" w:rsidP="00807F1E">
            <w:pPr>
              <w:pStyle w:val="ListParagraph"/>
              <w:numPr>
                <w:ilvl w:val="0"/>
                <w:numId w:val="14"/>
              </w:numPr>
              <w:spacing w:after="60"/>
              <w:ind w:left="319"/>
              <w:rPr>
                <w:sz w:val="20"/>
                <w:szCs w:val="20"/>
              </w:rPr>
            </w:pPr>
            <w:r>
              <w:rPr>
                <w:sz w:val="20"/>
                <w:szCs w:val="20"/>
              </w:rPr>
              <w:t>Likely to include:</w:t>
            </w:r>
          </w:p>
          <w:p w14:paraId="172A6A84" w14:textId="77777777" w:rsidR="00807F1E" w:rsidRDefault="00807F1E" w:rsidP="00807F1E">
            <w:pPr>
              <w:pStyle w:val="ListParagraph"/>
              <w:numPr>
                <w:ilvl w:val="1"/>
                <w:numId w:val="14"/>
              </w:numPr>
              <w:spacing w:after="60"/>
              <w:ind w:left="744" w:hanging="426"/>
              <w:rPr>
                <w:sz w:val="20"/>
                <w:szCs w:val="20"/>
              </w:rPr>
            </w:pPr>
            <w:r>
              <w:rPr>
                <w:sz w:val="20"/>
                <w:szCs w:val="20"/>
              </w:rPr>
              <w:t>All Project partners (from SEP)</w:t>
            </w:r>
          </w:p>
          <w:p w14:paraId="51451A47" w14:textId="77777777" w:rsidR="00807F1E" w:rsidRDefault="00807F1E" w:rsidP="00807F1E">
            <w:pPr>
              <w:pStyle w:val="ListParagraph"/>
              <w:numPr>
                <w:ilvl w:val="1"/>
                <w:numId w:val="14"/>
              </w:numPr>
              <w:spacing w:after="60"/>
              <w:ind w:left="744" w:hanging="426"/>
              <w:rPr>
                <w:sz w:val="20"/>
                <w:szCs w:val="20"/>
              </w:rPr>
            </w:pPr>
            <w:r>
              <w:rPr>
                <w:sz w:val="20"/>
                <w:szCs w:val="20"/>
              </w:rPr>
              <w:t>Local government Majuro, Jaluit, Wotje, Arno</w:t>
            </w:r>
          </w:p>
          <w:p w14:paraId="630DE4D7" w14:textId="77777777" w:rsidR="00807F1E" w:rsidRDefault="00807F1E" w:rsidP="00807F1E">
            <w:pPr>
              <w:pStyle w:val="ListParagraph"/>
              <w:numPr>
                <w:ilvl w:val="1"/>
                <w:numId w:val="14"/>
              </w:numPr>
              <w:spacing w:after="0"/>
              <w:ind w:left="744" w:hanging="426"/>
              <w:rPr>
                <w:sz w:val="20"/>
                <w:szCs w:val="20"/>
              </w:rPr>
            </w:pPr>
            <w:r w:rsidRPr="000B00D1">
              <w:rPr>
                <w:sz w:val="20"/>
                <w:szCs w:val="20"/>
              </w:rPr>
              <w:t xml:space="preserve">Majuro Stevedore and Terminal Company </w:t>
            </w:r>
          </w:p>
          <w:p w14:paraId="2710FE26" w14:textId="77777777" w:rsidR="00807F1E" w:rsidRPr="000B00D1" w:rsidRDefault="00807F1E" w:rsidP="00807F1E">
            <w:pPr>
              <w:pStyle w:val="ListParagraph"/>
              <w:numPr>
                <w:ilvl w:val="1"/>
                <w:numId w:val="14"/>
              </w:numPr>
              <w:spacing w:after="0"/>
              <w:ind w:left="744" w:hanging="426"/>
              <w:rPr>
                <w:sz w:val="20"/>
                <w:szCs w:val="20"/>
              </w:rPr>
            </w:pPr>
            <w:r w:rsidRPr="000B00D1">
              <w:rPr>
                <w:sz w:val="20"/>
                <w:szCs w:val="20"/>
              </w:rPr>
              <w:t>Kwajalein Atoll Port Authority</w:t>
            </w:r>
          </w:p>
          <w:p w14:paraId="59738144" w14:textId="77777777" w:rsidR="00807F1E" w:rsidRDefault="00807F1E" w:rsidP="00807F1E">
            <w:pPr>
              <w:pStyle w:val="ListParagraph"/>
              <w:numPr>
                <w:ilvl w:val="1"/>
                <w:numId w:val="14"/>
              </w:numPr>
              <w:spacing w:after="0"/>
              <w:ind w:left="744" w:hanging="426"/>
              <w:rPr>
                <w:sz w:val="20"/>
                <w:szCs w:val="20"/>
              </w:rPr>
            </w:pPr>
            <w:r w:rsidRPr="000B00D1">
              <w:rPr>
                <w:sz w:val="20"/>
                <w:szCs w:val="20"/>
              </w:rPr>
              <w:t>Marshall Islands Shipping Corporation</w:t>
            </w:r>
          </w:p>
          <w:p w14:paraId="51F2BCD0" w14:textId="6E0E9A6B" w:rsidR="00524A7D" w:rsidRPr="00710373" w:rsidRDefault="00524A7D" w:rsidP="00807F1E">
            <w:pPr>
              <w:pStyle w:val="ListParagraph"/>
              <w:numPr>
                <w:ilvl w:val="1"/>
                <w:numId w:val="14"/>
              </w:numPr>
              <w:spacing w:after="0"/>
              <w:ind w:left="744" w:hanging="426"/>
              <w:rPr>
                <w:sz w:val="20"/>
                <w:szCs w:val="20"/>
              </w:rPr>
            </w:pPr>
            <w:r>
              <w:rPr>
                <w:sz w:val="20"/>
                <w:szCs w:val="20"/>
              </w:rPr>
              <w:t>WUTMI</w:t>
            </w:r>
          </w:p>
        </w:tc>
      </w:tr>
      <w:tr w:rsidR="00807F1E" w:rsidRPr="00D66FA9" w14:paraId="0660F8D4" w14:textId="77777777" w:rsidTr="00FF70B5">
        <w:tc>
          <w:tcPr>
            <w:tcW w:w="8009" w:type="dxa"/>
          </w:tcPr>
          <w:p w14:paraId="54E5FAD2" w14:textId="77777777" w:rsidR="00807F1E" w:rsidRPr="00D66FA9" w:rsidRDefault="00807F1E" w:rsidP="00807F1E">
            <w:pPr>
              <w:spacing w:after="60"/>
              <w:rPr>
                <w:rFonts w:eastAsia="Calibri" w:cs="Times New Roman"/>
                <w:sz w:val="20"/>
                <w:szCs w:val="20"/>
              </w:rPr>
            </w:pPr>
            <w:r w:rsidRPr="00D66FA9">
              <w:rPr>
                <w:rFonts w:eastAsia="Calibri" w:cs="Times New Roman"/>
                <w:sz w:val="20"/>
                <w:szCs w:val="20"/>
              </w:rPr>
              <w:t xml:space="preserve">Items under Component 2.4e are currently proceeding. These involve supporting and elevating awareness and prevention of human trafficking and GBV by: </w:t>
            </w:r>
          </w:p>
        </w:tc>
        <w:tc>
          <w:tcPr>
            <w:tcW w:w="5812" w:type="dxa"/>
          </w:tcPr>
          <w:p w14:paraId="15D42375" w14:textId="77777777" w:rsidR="00807F1E" w:rsidRPr="00710373" w:rsidRDefault="00807F1E" w:rsidP="00807F1E">
            <w:pPr>
              <w:spacing w:after="60"/>
              <w:ind w:left="-41"/>
              <w:rPr>
                <w:sz w:val="20"/>
                <w:szCs w:val="20"/>
              </w:rPr>
            </w:pPr>
          </w:p>
        </w:tc>
      </w:tr>
      <w:tr w:rsidR="00807F1E" w:rsidRPr="00D66FA9" w14:paraId="08986084" w14:textId="77777777" w:rsidTr="00FF70B5">
        <w:tc>
          <w:tcPr>
            <w:tcW w:w="8009" w:type="dxa"/>
          </w:tcPr>
          <w:p w14:paraId="51368EC4" w14:textId="77777777" w:rsidR="00807F1E" w:rsidRPr="00D66FA9" w:rsidRDefault="00807F1E" w:rsidP="00807F1E">
            <w:pPr>
              <w:pStyle w:val="ListParagraph"/>
              <w:numPr>
                <w:ilvl w:val="0"/>
                <w:numId w:val="15"/>
              </w:numPr>
              <w:spacing w:after="60"/>
              <w:ind w:left="389" w:hanging="389"/>
              <w:contextualSpacing w:val="0"/>
              <w:rPr>
                <w:rFonts w:eastAsia="Calibri" w:cs="Times New Roman"/>
                <w:sz w:val="20"/>
                <w:szCs w:val="20"/>
              </w:rPr>
            </w:pPr>
            <w:r w:rsidRPr="00D66FA9">
              <w:rPr>
                <w:rFonts w:eastAsia="Calibri" w:cs="Times New Roman"/>
                <w:sz w:val="20"/>
                <w:szCs w:val="20"/>
              </w:rPr>
              <w:t xml:space="preserve">conducting a needs assessment on trafficking and GBV to identify the availability of services </w:t>
            </w:r>
          </w:p>
        </w:tc>
        <w:tc>
          <w:tcPr>
            <w:tcW w:w="5812" w:type="dxa"/>
            <w:vMerge w:val="restart"/>
            <w:vAlign w:val="center"/>
          </w:tcPr>
          <w:p w14:paraId="153D9B53" w14:textId="77777777" w:rsidR="00C134A6" w:rsidRDefault="00C134A6" w:rsidP="00807F1E">
            <w:pPr>
              <w:pStyle w:val="ListParagraph"/>
              <w:numPr>
                <w:ilvl w:val="0"/>
                <w:numId w:val="14"/>
              </w:numPr>
              <w:spacing w:after="60"/>
              <w:ind w:left="319"/>
              <w:rPr>
                <w:sz w:val="20"/>
                <w:szCs w:val="20"/>
              </w:rPr>
            </w:pPr>
            <w:r w:rsidRPr="0072627A">
              <w:rPr>
                <w:sz w:val="20"/>
                <w:szCs w:val="20"/>
              </w:rPr>
              <w:t>GBV/Human Trafficking Consultant engaged by World Bank</w:t>
            </w:r>
            <w:r w:rsidRPr="00710373">
              <w:rPr>
                <w:sz w:val="20"/>
                <w:szCs w:val="20"/>
              </w:rPr>
              <w:t xml:space="preserve"> </w:t>
            </w:r>
          </w:p>
          <w:p w14:paraId="350FE66C" w14:textId="20FFED41" w:rsidR="00807F1E" w:rsidRPr="00710373" w:rsidRDefault="00807F1E" w:rsidP="00807F1E">
            <w:pPr>
              <w:pStyle w:val="ListParagraph"/>
              <w:numPr>
                <w:ilvl w:val="0"/>
                <w:numId w:val="14"/>
              </w:numPr>
              <w:spacing w:after="60"/>
              <w:ind w:left="319"/>
              <w:rPr>
                <w:sz w:val="20"/>
                <w:szCs w:val="20"/>
              </w:rPr>
            </w:pPr>
            <w:r w:rsidRPr="00710373">
              <w:rPr>
                <w:sz w:val="20"/>
                <w:szCs w:val="20"/>
              </w:rPr>
              <w:t>RMIPA</w:t>
            </w:r>
          </w:p>
          <w:p w14:paraId="3E078252" w14:textId="77777777" w:rsidR="00807F1E" w:rsidRPr="00710373" w:rsidRDefault="00807F1E" w:rsidP="00807F1E">
            <w:pPr>
              <w:pStyle w:val="ListParagraph"/>
              <w:numPr>
                <w:ilvl w:val="0"/>
                <w:numId w:val="14"/>
              </w:numPr>
              <w:spacing w:after="60"/>
              <w:ind w:left="319"/>
              <w:rPr>
                <w:sz w:val="20"/>
                <w:szCs w:val="20"/>
              </w:rPr>
            </w:pPr>
            <w:r w:rsidRPr="00710373">
              <w:rPr>
                <w:sz w:val="20"/>
                <w:szCs w:val="20"/>
              </w:rPr>
              <w:t xml:space="preserve">Department of Immigration </w:t>
            </w:r>
          </w:p>
          <w:p w14:paraId="411F4966" w14:textId="77777777" w:rsidR="00807F1E" w:rsidRPr="00710373" w:rsidRDefault="00807F1E" w:rsidP="00807F1E">
            <w:pPr>
              <w:pStyle w:val="ListParagraph"/>
              <w:numPr>
                <w:ilvl w:val="0"/>
                <w:numId w:val="14"/>
              </w:numPr>
              <w:spacing w:after="60"/>
              <w:ind w:left="319"/>
              <w:rPr>
                <w:sz w:val="20"/>
                <w:szCs w:val="20"/>
              </w:rPr>
            </w:pPr>
            <w:r w:rsidRPr="00710373">
              <w:rPr>
                <w:sz w:val="20"/>
                <w:szCs w:val="20"/>
              </w:rPr>
              <w:t>Ministry of Cultural and Internal Affairs</w:t>
            </w:r>
          </w:p>
          <w:p w14:paraId="684F9E13" w14:textId="77777777" w:rsidR="00807F1E" w:rsidRPr="00710373" w:rsidRDefault="00807F1E" w:rsidP="00807F1E">
            <w:pPr>
              <w:pStyle w:val="ListParagraph"/>
              <w:numPr>
                <w:ilvl w:val="0"/>
                <w:numId w:val="14"/>
              </w:numPr>
              <w:spacing w:after="60"/>
              <w:ind w:left="319"/>
              <w:rPr>
                <w:sz w:val="20"/>
                <w:szCs w:val="20"/>
              </w:rPr>
            </w:pPr>
            <w:r w:rsidRPr="00710373">
              <w:rPr>
                <w:sz w:val="20"/>
                <w:szCs w:val="20"/>
              </w:rPr>
              <w:t>Ministry of Justice</w:t>
            </w:r>
          </w:p>
          <w:p w14:paraId="2D4A903B" w14:textId="77777777" w:rsidR="00524A7D" w:rsidRPr="00710373" w:rsidRDefault="00524A7D" w:rsidP="00524A7D">
            <w:pPr>
              <w:pStyle w:val="ListParagraph"/>
              <w:numPr>
                <w:ilvl w:val="0"/>
                <w:numId w:val="14"/>
              </w:numPr>
              <w:spacing w:after="60"/>
              <w:ind w:left="319"/>
              <w:rPr>
                <w:sz w:val="20"/>
                <w:szCs w:val="20"/>
              </w:rPr>
            </w:pPr>
            <w:r>
              <w:rPr>
                <w:sz w:val="20"/>
                <w:szCs w:val="20"/>
              </w:rPr>
              <w:t>RMI National</w:t>
            </w:r>
            <w:r w:rsidRPr="00701592">
              <w:rPr>
                <w:sz w:val="20"/>
                <w:szCs w:val="20"/>
              </w:rPr>
              <w:t xml:space="preserve"> Police </w:t>
            </w:r>
          </w:p>
          <w:p w14:paraId="51703ECE" w14:textId="77777777" w:rsidR="00807F1E" w:rsidRPr="00710373" w:rsidRDefault="00807F1E" w:rsidP="00807F1E">
            <w:pPr>
              <w:pStyle w:val="ListParagraph"/>
              <w:numPr>
                <w:ilvl w:val="0"/>
                <w:numId w:val="14"/>
              </w:numPr>
              <w:spacing w:after="60"/>
              <w:ind w:left="319"/>
              <w:rPr>
                <w:sz w:val="20"/>
                <w:szCs w:val="20"/>
              </w:rPr>
            </w:pPr>
            <w:r>
              <w:rPr>
                <w:sz w:val="20"/>
                <w:szCs w:val="20"/>
              </w:rPr>
              <w:t>IOM</w:t>
            </w:r>
          </w:p>
          <w:p w14:paraId="75EFD224" w14:textId="2FC7F4C3" w:rsidR="00807F1E" w:rsidRDefault="00807F1E" w:rsidP="00807F1E">
            <w:pPr>
              <w:pStyle w:val="ListParagraph"/>
              <w:numPr>
                <w:ilvl w:val="0"/>
                <w:numId w:val="14"/>
              </w:numPr>
              <w:spacing w:after="60"/>
              <w:ind w:left="319"/>
              <w:rPr>
                <w:sz w:val="20"/>
                <w:szCs w:val="20"/>
              </w:rPr>
            </w:pPr>
            <w:r w:rsidRPr="00710373">
              <w:rPr>
                <w:sz w:val="20"/>
                <w:szCs w:val="20"/>
              </w:rPr>
              <w:t>Women United Together Marshall Islands (WUTMI)</w:t>
            </w:r>
          </w:p>
          <w:p w14:paraId="2505AB4B" w14:textId="6589168A" w:rsidR="00C134A6" w:rsidRDefault="00C134A6" w:rsidP="00807F1E">
            <w:pPr>
              <w:pStyle w:val="ListParagraph"/>
              <w:numPr>
                <w:ilvl w:val="0"/>
                <w:numId w:val="14"/>
              </w:numPr>
              <w:spacing w:after="60"/>
              <w:ind w:left="319"/>
              <w:rPr>
                <w:sz w:val="20"/>
                <w:szCs w:val="20"/>
              </w:rPr>
            </w:pPr>
            <w:r w:rsidRPr="0072627A">
              <w:rPr>
                <w:sz w:val="20"/>
                <w:szCs w:val="20"/>
              </w:rPr>
              <w:t>Human Rights Committee</w:t>
            </w:r>
          </w:p>
          <w:p w14:paraId="0C5DB8BA" w14:textId="77777777" w:rsidR="00524A7D" w:rsidRDefault="00524A7D" w:rsidP="00524A7D">
            <w:pPr>
              <w:pStyle w:val="ListParagraph"/>
              <w:numPr>
                <w:ilvl w:val="0"/>
                <w:numId w:val="14"/>
              </w:numPr>
              <w:spacing w:after="60"/>
              <w:ind w:left="319"/>
              <w:rPr>
                <w:sz w:val="20"/>
                <w:szCs w:val="20"/>
              </w:rPr>
            </w:pPr>
            <w:r>
              <w:rPr>
                <w:sz w:val="20"/>
                <w:szCs w:val="20"/>
              </w:rPr>
              <w:t>Local government Majuro, Jaluit, Wotje, Arno</w:t>
            </w:r>
          </w:p>
          <w:p w14:paraId="5A2640FF" w14:textId="02845E9D" w:rsidR="00524A7D" w:rsidRPr="00710373" w:rsidRDefault="00524A7D" w:rsidP="00524A7D">
            <w:pPr>
              <w:pStyle w:val="ListParagraph"/>
              <w:numPr>
                <w:ilvl w:val="0"/>
                <w:numId w:val="14"/>
              </w:numPr>
              <w:spacing w:after="60"/>
              <w:ind w:left="319"/>
              <w:rPr>
                <w:sz w:val="20"/>
                <w:szCs w:val="20"/>
              </w:rPr>
            </w:pPr>
            <w:r>
              <w:rPr>
                <w:sz w:val="20"/>
                <w:szCs w:val="20"/>
              </w:rPr>
              <w:t>Contractors</w:t>
            </w:r>
          </w:p>
        </w:tc>
      </w:tr>
      <w:tr w:rsidR="00807F1E" w:rsidRPr="00D66FA9" w14:paraId="4E5F2960" w14:textId="77777777" w:rsidTr="00FF70B5">
        <w:tc>
          <w:tcPr>
            <w:tcW w:w="8009" w:type="dxa"/>
          </w:tcPr>
          <w:p w14:paraId="58BB4E51" w14:textId="77777777" w:rsidR="00807F1E" w:rsidRPr="00D66FA9" w:rsidRDefault="00807F1E" w:rsidP="00807F1E">
            <w:pPr>
              <w:pStyle w:val="ListParagraph"/>
              <w:numPr>
                <w:ilvl w:val="0"/>
                <w:numId w:val="15"/>
              </w:numPr>
              <w:spacing w:after="60"/>
              <w:ind w:left="389" w:hanging="389"/>
              <w:contextualSpacing w:val="0"/>
              <w:rPr>
                <w:rFonts w:eastAsia="Calibri" w:cs="Times New Roman"/>
                <w:sz w:val="20"/>
                <w:szCs w:val="20"/>
              </w:rPr>
            </w:pPr>
            <w:r w:rsidRPr="00D66FA9">
              <w:rPr>
                <w:rFonts w:eastAsia="Calibri" w:cs="Times New Roman"/>
                <w:sz w:val="20"/>
                <w:szCs w:val="20"/>
              </w:rPr>
              <w:t xml:space="preserve">conducting training activities for workers hired through the Project </w:t>
            </w:r>
          </w:p>
        </w:tc>
        <w:tc>
          <w:tcPr>
            <w:tcW w:w="5812" w:type="dxa"/>
            <w:vMerge/>
          </w:tcPr>
          <w:p w14:paraId="24B85344" w14:textId="77777777" w:rsidR="00807F1E" w:rsidRPr="00D66FA9" w:rsidRDefault="00807F1E" w:rsidP="00807F1E">
            <w:pPr>
              <w:spacing w:after="60"/>
              <w:ind w:left="39"/>
              <w:rPr>
                <w:rFonts w:eastAsia="Calibri" w:cs="Times New Roman"/>
                <w:sz w:val="20"/>
                <w:szCs w:val="20"/>
              </w:rPr>
            </w:pPr>
          </w:p>
        </w:tc>
      </w:tr>
      <w:tr w:rsidR="00807F1E" w:rsidRPr="00D66FA9" w14:paraId="2ED0A537" w14:textId="77777777" w:rsidTr="00FF70B5">
        <w:tc>
          <w:tcPr>
            <w:tcW w:w="8009" w:type="dxa"/>
          </w:tcPr>
          <w:p w14:paraId="33C32144" w14:textId="77777777" w:rsidR="00807F1E" w:rsidRPr="00D66FA9" w:rsidRDefault="00807F1E" w:rsidP="00807F1E">
            <w:pPr>
              <w:pStyle w:val="ListParagraph"/>
              <w:numPr>
                <w:ilvl w:val="0"/>
                <w:numId w:val="15"/>
              </w:numPr>
              <w:spacing w:after="60"/>
              <w:ind w:left="389" w:hanging="389"/>
              <w:contextualSpacing w:val="0"/>
              <w:rPr>
                <w:rFonts w:eastAsia="Calibri" w:cs="Times New Roman"/>
                <w:sz w:val="20"/>
                <w:szCs w:val="20"/>
              </w:rPr>
            </w:pPr>
            <w:r w:rsidRPr="00D66FA9">
              <w:rPr>
                <w:rFonts w:eastAsia="Calibri" w:cs="Times New Roman"/>
                <w:sz w:val="20"/>
                <w:szCs w:val="20"/>
              </w:rPr>
              <w:t>conducting community awareness raising activities</w:t>
            </w:r>
          </w:p>
        </w:tc>
        <w:tc>
          <w:tcPr>
            <w:tcW w:w="5812" w:type="dxa"/>
            <w:vMerge/>
          </w:tcPr>
          <w:p w14:paraId="5FDFFBED" w14:textId="77777777" w:rsidR="00807F1E" w:rsidRPr="00D66FA9" w:rsidRDefault="00807F1E" w:rsidP="00807F1E">
            <w:pPr>
              <w:spacing w:after="60"/>
              <w:ind w:left="39"/>
              <w:rPr>
                <w:rFonts w:eastAsia="Calibri" w:cs="Times New Roman"/>
                <w:sz w:val="20"/>
                <w:szCs w:val="20"/>
              </w:rPr>
            </w:pPr>
          </w:p>
        </w:tc>
      </w:tr>
      <w:tr w:rsidR="00807F1E" w:rsidRPr="00D66FA9" w14:paraId="44C0FDFC" w14:textId="77777777" w:rsidTr="00FF70B5">
        <w:tc>
          <w:tcPr>
            <w:tcW w:w="8009" w:type="dxa"/>
          </w:tcPr>
          <w:p w14:paraId="155EFAF6" w14:textId="77777777" w:rsidR="00807F1E" w:rsidRPr="00D66FA9" w:rsidRDefault="00807F1E" w:rsidP="00807F1E">
            <w:pPr>
              <w:pStyle w:val="ListParagraph"/>
              <w:numPr>
                <w:ilvl w:val="0"/>
                <w:numId w:val="15"/>
              </w:numPr>
              <w:spacing w:after="60"/>
              <w:ind w:left="389" w:hanging="389"/>
              <w:contextualSpacing w:val="0"/>
              <w:rPr>
                <w:rFonts w:eastAsia="Calibri" w:cs="Times New Roman"/>
                <w:sz w:val="20"/>
                <w:szCs w:val="20"/>
              </w:rPr>
            </w:pPr>
            <w:r w:rsidRPr="00D66FA9">
              <w:rPr>
                <w:rFonts w:eastAsia="Calibri" w:cs="Times New Roman"/>
                <w:sz w:val="20"/>
                <w:szCs w:val="20"/>
              </w:rPr>
              <w:t xml:space="preserve">supporting survivors of trafficking and GBV through the provision of counselling, healthcare, and appropriately skilled police focal points </w:t>
            </w:r>
          </w:p>
        </w:tc>
        <w:tc>
          <w:tcPr>
            <w:tcW w:w="5812" w:type="dxa"/>
            <w:vMerge/>
          </w:tcPr>
          <w:p w14:paraId="77CE69E2" w14:textId="77777777" w:rsidR="00807F1E" w:rsidRPr="00D66FA9" w:rsidRDefault="00807F1E" w:rsidP="00807F1E">
            <w:pPr>
              <w:spacing w:after="60"/>
              <w:ind w:left="39"/>
              <w:rPr>
                <w:rFonts w:eastAsia="Calibri" w:cs="Times New Roman"/>
                <w:sz w:val="20"/>
                <w:szCs w:val="20"/>
              </w:rPr>
            </w:pPr>
          </w:p>
        </w:tc>
      </w:tr>
      <w:tr w:rsidR="00807F1E" w:rsidRPr="00D66FA9" w14:paraId="6FA6FDB9" w14:textId="77777777" w:rsidTr="00FF70B5">
        <w:tc>
          <w:tcPr>
            <w:tcW w:w="8009" w:type="dxa"/>
          </w:tcPr>
          <w:p w14:paraId="3ADC8231" w14:textId="77777777" w:rsidR="00807F1E" w:rsidRPr="00D66FA9" w:rsidRDefault="00807F1E" w:rsidP="00807F1E">
            <w:pPr>
              <w:pStyle w:val="ListParagraph"/>
              <w:numPr>
                <w:ilvl w:val="0"/>
                <w:numId w:val="15"/>
              </w:numPr>
              <w:spacing w:after="60"/>
              <w:ind w:left="389" w:hanging="389"/>
              <w:contextualSpacing w:val="0"/>
              <w:rPr>
                <w:rFonts w:eastAsia="Calibri" w:cs="Times New Roman"/>
                <w:sz w:val="20"/>
                <w:szCs w:val="20"/>
              </w:rPr>
            </w:pPr>
            <w:r w:rsidRPr="00D66FA9">
              <w:rPr>
                <w:rFonts w:eastAsia="Calibri" w:cs="Times New Roman"/>
                <w:sz w:val="20"/>
                <w:szCs w:val="20"/>
              </w:rPr>
              <w:t>establishing a referral pathway for survivors of trafficking and GBV.</w:t>
            </w:r>
          </w:p>
        </w:tc>
        <w:tc>
          <w:tcPr>
            <w:tcW w:w="5812" w:type="dxa"/>
            <w:vMerge/>
          </w:tcPr>
          <w:p w14:paraId="387B5CE1" w14:textId="77777777" w:rsidR="00807F1E" w:rsidRPr="00D66FA9" w:rsidRDefault="00807F1E" w:rsidP="00807F1E">
            <w:pPr>
              <w:spacing w:after="60"/>
              <w:ind w:left="39"/>
              <w:rPr>
                <w:rFonts w:eastAsia="Calibri" w:cs="Times New Roman"/>
                <w:sz w:val="20"/>
                <w:szCs w:val="20"/>
              </w:rPr>
            </w:pPr>
          </w:p>
        </w:tc>
      </w:tr>
      <w:tr w:rsidR="00807F1E" w:rsidRPr="00D66FA9" w14:paraId="72206FF8" w14:textId="77777777" w:rsidTr="00FF70B5">
        <w:tc>
          <w:tcPr>
            <w:tcW w:w="8009" w:type="dxa"/>
          </w:tcPr>
          <w:p w14:paraId="7460A82D" w14:textId="14843E0A" w:rsidR="00807F1E" w:rsidRPr="00D66FA9" w:rsidRDefault="00807F1E" w:rsidP="00807F1E">
            <w:pPr>
              <w:rPr>
                <w:rFonts w:eastAsia="Calibri" w:cs="Times New Roman"/>
                <w:sz w:val="20"/>
                <w:szCs w:val="20"/>
              </w:rPr>
            </w:pPr>
            <w:r w:rsidRPr="00D66FA9">
              <w:rPr>
                <w:rFonts w:eastAsia="Calibri" w:cs="Times New Roman"/>
                <w:sz w:val="20"/>
                <w:szCs w:val="20"/>
              </w:rPr>
              <w:t xml:space="preserve">Items under Component 2.4 a, b, c &amp; d will follow Ports Needs </w:t>
            </w:r>
            <w:proofErr w:type="spellStart"/>
            <w:r w:rsidRPr="00D66FA9">
              <w:rPr>
                <w:rFonts w:eastAsia="Calibri" w:cs="Times New Roman"/>
                <w:sz w:val="20"/>
                <w:szCs w:val="20"/>
              </w:rPr>
              <w:t>Assessment</w:t>
            </w:r>
            <w:r w:rsidR="00227885">
              <w:rPr>
                <w:rFonts w:eastAsia="Calibri" w:cs="Times New Roman"/>
                <w:sz w:val="20"/>
                <w:szCs w:val="20"/>
              </w:rPr>
              <w:t>.</w:t>
            </w:r>
            <w:r w:rsidRPr="00D66FA9">
              <w:rPr>
                <w:rFonts w:eastAsia="Calibri" w:cs="Times New Roman"/>
                <w:sz w:val="20"/>
                <w:szCs w:val="20"/>
              </w:rPr>
              <w:t>These</w:t>
            </w:r>
            <w:proofErr w:type="spellEnd"/>
            <w:r w:rsidRPr="00D66FA9">
              <w:rPr>
                <w:rFonts w:eastAsia="Calibri" w:cs="Times New Roman"/>
                <w:sz w:val="20"/>
                <w:szCs w:val="20"/>
              </w:rPr>
              <w:t xml:space="preserve"> items are </w:t>
            </w:r>
          </w:p>
        </w:tc>
        <w:tc>
          <w:tcPr>
            <w:tcW w:w="5812" w:type="dxa"/>
          </w:tcPr>
          <w:p w14:paraId="3B20BDDC" w14:textId="77777777" w:rsidR="00807F1E" w:rsidRPr="00D66FA9" w:rsidRDefault="00807F1E" w:rsidP="00807F1E">
            <w:pPr>
              <w:rPr>
                <w:rFonts w:eastAsia="Calibri" w:cs="Times New Roman"/>
                <w:sz w:val="20"/>
                <w:szCs w:val="20"/>
              </w:rPr>
            </w:pPr>
          </w:p>
        </w:tc>
      </w:tr>
      <w:tr w:rsidR="00807F1E" w:rsidRPr="00D66FA9" w14:paraId="1D6C5FB7" w14:textId="77777777" w:rsidTr="00FF70B5">
        <w:tc>
          <w:tcPr>
            <w:tcW w:w="8009" w:type="dxa"/>
          </w:tcPr>
          <w:p w14:paraId="61746F22" w14:textId="77777777" w:rsidR="00807F1E" w:rsidRPr="00D66FA9" w:rsidRDefault="00807F1E" w:rsidP="00807F1E">
            <w:pPr>
              <w:pStyle w:val="Default"/>
              <w:numPr>
                <w:ilvl w:val="1"/>
                <w:numId w:val="6"/>
              </w:numPr>
              <w:ind w:left="389"/>
              <w:rPr>
                <w:rFonts w:ascii="Arial Narrow" w:hAnsi="Arial Narrow"/>
                <w:sz w:val="20"/>
                <w:szCs w:val="20"/>
              </w:rPr>
            </w:pPr>
            <w:r w:rsidRPr="00D66FA9">
              <w:rPr>
                <w:rFonts w:ascii="Arial Narrow" w:hAnsi="Arial Narrow"/>
                <w:sz w:val="20"/>
                <w:szCs w:val="20"/>
              </w:rPr>
              <w:t xml:space="preserve">Provide back-up generators for Delap Dock and Ebeye Matson Container Dock. </w:t>
            </w:r>
          </w:p>
        </w:tc>
        <w:tc>
          <w:tcPr>
            <w:tcW w:w="5812" w:type="dxa"/>
          </w:tcPr>
          <w:p w14:paraId="4AD856E0" w14:textId="77777777" w:rsidR="00807F1E" w:rsidRDefault="00807F1E" w:rsidP="00807F1E">
            <w:pPr>
              <w:pStyle w:val="ListParagraph"/>
              <w:numPr>
                <w:ilvl w:val="0"/>
                <w:numId w:val="14"/>
              </w:numPr>
              <w:spacing w:after="60"/>
              <w:ind w:left="319"/>
              <w:rPr>
                <w:sz w:val="20"/>
                <w:szCs w:val="20"/>
              </w:rPr>
            </w:pPr>
            <w:r>
              <w:rPr>
                <w:sz w:val="20"/>
                <w:szCs w:val="20"/>
              </w:rPr>
              <w:t>RMIPA</w:t>
            </w:r>
          </w:p>
          <w:p w14:paraId="68899BF3" w14:textId="77777777" w:rsidR="00807F1E" w:rsidRDefault="00807F1E" w:rsidP="00807F1E">
            <w:pPr>
              <w:pStyle w:val="ListParagraph"/>
              <w:numPr>
                <w:ilvl w:val="0"/>
                <w:numId w:val="14"/>
              </w:numPr>
              <w:spacing w:after="60"/>
              <w:ind w:left="319"/>
              <w:rPr>
                <w:sz w:val="20"/>
                <w:szCs w:val="20"/>
              </w:rPr>
            </w:pPr>
            <w:r>
              <w:rPr>
                <w:sz w:val="20"/>
                <w:szCs w:val="20"/>
              </w:rPr>
              <w:t>MEC</w:t>
            </w:r>
          </w:p>
          <w:p w14:paraId="0230AB8C" w14:textId="77777777" w:rsidR="00807F1E" w:rsidRDefault="00807F1E" w:rsidP="00807F1E">
            <w:pPr>
              <w:pStyle w:val="ListParagraph"/>
              <w:numPr>
                <w:ilvl w:val="0"/>
                <w:numId w:val="14"/>
              </w:numPr>
              <w:spacing w:after="60"/>
              <w:ind w:left="319"/>
              <w:rPr>
                <w:sz w:val="20"/>
                <w:szCs w:val="20"/>
              </w:rPr>
            </w:pPr>
            <w:r>
              <w:rPr>
                <w:sz w:val="20"/>
                <w:szCs w:val="20"/>
              </w:rPr>
              <w:t>Stevedores</w:t>
            </w:r>
          </w:p>
          <w:p w14:paraId="2031CD6A" w14:textId="77777777" w:rsidR="00807F1E" w:rsidRDefault="00807F1E" w:rsidP="00807F1E">
            <w:pPr>
              <w:pStyle w:val="ListParagraph"/>
              <w:numPr>
                <w:ilvl w:val="0"/>
                <w:numId w:val="14"/>
              </w:numPr>
              <w:spacing w:after="60"/>
              <w:ind w:left="319"/>
              <w:rPr>
                <w:sz w:val="20"/>
                <w:szCs w:val="20"/>
              </w:rPr>
            </w:pPr>
            <w:r>
              <w:rPr>
                <w:sz w:val="20"/>
                <w:szCs w:val="20"/>
              </w:rPr>
              <w:t>KAJUR</w:t>
            </w:r>
          </w:p>
          <w:p w14:paraId="31A20DCA" w14:textId="77777777" w:rsidR="00807F1E" w:rsidRDefault="00807F1E" w:rsidP="00807F1E">
            <w:pPr>
              <w:pStyle w:val="ListParagraph"/>
              <w:numPr>
                <w:ilvl w:val="0"/>
                <w:numId w:val="14"/>
              </w:numPr>
              <w:spacing w:after="60"/>
              <w:ind w:left="319"/>
              <w:rPr>
                <w:sz w:val="20"/>
                <w:szCs w:val="20"/>
              </w:rPr>
            </w:pPr>
            <w:r>
              <w:rPr>
                <w:sz w:val="20"/>
                <w:szCs w:val="20"/>
              </w:rPr>
              <w:t>KALGOV</w:t>
            </w:r>
          </w:p>
          <w:p w14:paraId="30F7C44B" w14:textId="77777777" w:rsidR="00807F1E" w:rsidRPr="000B00D1" w:rsidRDefault="00807F1E" w:rsidP="00807F1E">
            <w:pPr>
              <w:pStyle w:val="ListParagraph"/>
              <w:numPr>
                <w:ilvl w:val="0"/>
                <w:numId w:val="14"/>
              </w:numPr>
              <w:spacing w:after="60"/>
              <w:ind w:left="319"/>
              <w:rPr>
                <w:sz w:val="20"/>
                <w:szCs w:val="20"/>
              </w:rPr>
            </w:pPr>
            <w:r w:rsidRPr="000B00D1">
              <w:rPr>
                <w:sz w:val="20"/>
                <w:szCs w:val="20"/>
              </w:rPr>
              <w:t>Kwajalein Atoll Port Authority</w:t>
            </w:r>
          </w:p>
          <w:p w14:paraId="2C3236C8" w14:textId="77777777" w:rsidR="00807F1E" w:rsidRPr="00D66FA9" w:rsidRDefault="00807F1E" w:rsidP="00807F1E">
            <w:pPr>
              <w:pStyle w:val="ListParagraph"/>
              <w:numPr>
                <w:ilvl w:val="0"/>
                <w:numId w:val="14"/>
              </w:numPr>
              <w:spacing w:after="60"/>
              <w:ind w:left="319"/>
              <w:rPr>
                <w:sz w:val="20"/>
                <w:szCs w:val="20"/>
              </w:rPr>
            </w:pPr>
            <w:r>
              <w:rPr>
                <w:sz w:val="20"/>
                <w:szCs w:val="20"/>
              </w:rPr>
              <w:lastRenderedPageBreak/>
              <w:t>MALGOV</w:t>
            </w:r>
          </w:p>
        </w:tc>
      </w:tr>
    </w:tbl>
    <w:p w14:paraId="18FB694E" w14:textId="77777777" w:rsidR="00807F1E" w:rsidRDefault="00807F1E">
      <w:pPr>
        <w:spacing w:after="160" w:line="259" w:lineRule="auto"/>
        <w:jc w:val="left"/>
        <w:rPr>
          <w:lang w:val="en-US"/>
        </w:rPr>
      </w:pPr>
    </w:p>
    <w:p w14:paraId="266D19A7" w14:textId="77777777" w:rsidR="00807F1E" w:rsidRDefault="00807F1E">
      <w:pPr>
        <w:spacing w:after="160" w:line="259" w:lineRule="auto"/>
        <w:jc w:val="left"/>
        <w:rPr>
          <w:lang w:val="en-US"/>
        </w:rPr>
      </w:pPr>
    </w:p>
    <w:p w14:paraId="7C134251" w14:textId="0003A211" w:rsidR="00807F1E" w:rsidRDefault="00807F1E">
      <w:pPr>
        <w:spacing w:after="160" w:line="259" w:lineRule="auto"/>
        <w:jc w:val="left"/>
        <w:rPr>
          <w:lang w:val="en-US"/>
        </w:rPr>
        <w:sectPr w:rsidR="00807F1E" w:rsidSect="00B37999">
          <w:headerReference w:type="default" r:id="rId11"/>
          <w:footerReference w:type="default" r:id="rId12"/>
          <w:pgSz w:w="16838" w:h="11906" w:orient="landscape" w:code="9"/>
          <w:pgMar w:top="1440" w:right="1440" w:bottom="1440" w:left="1440" w:header="709" w:footer="709" w:gutter="0"/>
          <w:cols w:space="708"/>
          <w:docGrid w:linePitch="360"/>
        </w:sectPr>
      </w:pPr>
    </w:p>
    <w:p w14:paraId="23DE0E6B" w14:textId="5AF1166C" w:rsidR="0088155A" w:rsidRPr="00FF70B5" w:rsidRDefault="00F83580" w:rsidP="00FF70B5">
      <w:pPr>
        <w:pStyle w:val="Heading3"/>
      </w:pPr>
      <w:bookmarkStart w:id="20" w:name="_Toc98072628"/>
      <w:r w:rsidRPr="005F5C71">
        <w:lastRenderedPageBreak/>
        <w:t>Representatives of vulnerable and disadvantaged groups</w:t>
      </w:r>
      <w:bookmarkEnd w:id="20"/>
      <w:r w:rsidRPr="005F5C71">
        <w:t xml:space="preserve"> </w:t>
      </w:r>
    </w:p>
    <w:p w14:paraId="442A119E" w14:textId="67E28816" w:rsidR="0088155A" w:rsidRPr="00ED4C78" w:rsidRDefault="0088155A" w:rsidP="00FF70B5">
      <w:pPr>
        <w:rPr>
          <w:rFonts w:ascii="Arial" w:eastAsia="Times New Roman" w:hAnsi="Arial" w:cs="Arial"/>
          <w:color w:val="000000"/>
          <w:sz w:val="20"/>
          <w:szCs w:val="20"/>
          <w:lang w:val="en-US" w:eastAsia="en-MY"/>
        </w:rPr>
      </w:pPr>
      <w:r w:rsidRPr="00ED4C78">
        <w:rPr>
          <w:rFonts w:ascii="Arial" w:eastAsia="Times New Roman" w:hAnsi="Arial" w:cs="Arial"/>
          <w:bCs/>
          <w:color w:val="000000"/>
          <w:sz w:val="20"/>
          <w:szCs w:val="20"/>
          <w:lang w:val="en-US" w:eastAsia="en-MY"/>
        </w:rPr>
        <w:t xml:space="preserve">To </w:t>
      </w:r>
      <w:r w:rsidR="00A5774F" w:rsidRPr="00ED4C78">
        <w:rPr>
          <w:rFonts w:ascii="Arial" w:eastAsia="Times New Roman" w:hAnsi="Arial" w:cs="Arial"/>
          <w:bCs/>
          <w:color w:val="000000"/>
          <w:sz w:val="20"/>
          <w:szCs w:val="20"/>
          <w:lang w:val="en-US" w:eastAsia="en-MY"/>
        </w:rPr>
        <w:t>ensure</w:t>
      </w:r>
      <w:r w:rsidRPr="00ED4C78">
        <w:rPr>
          <w:rFonts w:ascii="Arial" w:eastAsia="Times New Roman" w:hAnsi="Arial" w:cs="Arial"/>
          <w:bCs/>
          <w:color w:val="000000"/>
          <w:sz w:val="20"/>
          <w:szCs w:val="20"/>
          <w:lang w:val="en-US" w:eastAsia="en-MY"/>
        </w:rPr>
        <w:t xml:space="preserve"> greater efficiency, it would be useful for CIU to consider </w:t>
      </w:r>
      <w:r w:rsidR="00A5774F" w:rsidRPr="00ED4C78">
        <w:rPr>
          <w:rFonts w:ascii="Arial" w:eastAsia="Times New Roman" w:hAnsi="Arial" w:cs="Arial"/>
          <w:bCs/>
          <w:color w:val="000000"/>
          <w:sz w:val="20"/>
          <w:szCs w:val="20"/>
          <w:lang w:val="en-US" w:eastAsia="en-MY"/>
        </w:rPr>
        <w:t>developing</w:t>
      </w:r>
      <w:r w:rsidRPr="00ED4C78">
        <w:rPr>
          <w:rFonts w:ascii="Arial" w:eastAsia="Times New Roman" w:hAnsi="Arial" w:cs="Arial"/>
          <w:bCs/>
          <w:color w:val="000000"/>
          <w:sz w:val="20"/>
          <w:szCs w:val="20"/>
          <w:lang w:val="en-US" w:eastAsia="en-MY"/>
        </w:rPr>
        <w:t xml:space="preserve"> a service agreement </w:t>
      </w:r>
      <w:r w:rsidR="00E06484" w:rsidRPr="00ED4C78">
        <w:rPr>
          <w:rFonts w:ascii="Arial" w:eastAsia="Times New Roman" w:hAnsi="Arial" w:cs="Arial"/>
          <w:bCs/>
          <w:color w:val="000000"/>
          <w:sz w:val="20"/>
          <w:szCs w:val="20"/>
          <w:lang w:val="en-US" w:eastAsia="en-MY"/>
        </w:rPr>
        <w:t xml:space="preserve">which sets out the </w:t>
      </w:r>
      <w:r w:rsidR="001A460F" w:rsidRPr="00ED4C78">
        <w:rPr>
          <w:rFonts w:ascii="Arial" w:eastAsia="Times New Roman" w:hAnsi="Arial" w:cs="Arial"/>
          <w:bCs/>
          <w:color w:val="000000"/>
          <w:sz w:val="20"/>
          <w:szCs w:val="20"/>
          <w:lang w:val="en-US" w:eastAsia="en-MY"/>
        </w:rPr>
        <w:t>arrangements</w:t>
      </w:r>
      <w:r w:rsidR="00E06484" w:rsidRPr="00ED4C78">
        <w:rPr>
          <w:rFonts w:ascii="Arial" w:eastAsia="Times New Roman" w:hAnsi="Arial" w:cs="Arial"/>
          <w:bCs/>
          <w:color w:val="000000"/>
          <w:sz w:val="20"/>
          <w:szCs w:val="20"/>
          <w:lang w:val="en-US" w:eastAsia="en-MY"/>
        </w:rPr>
        <w:t xml:space="preserve"> whereby</w:t>
      </w:r>
      <w:r w:rsidRPr="00ED4C78">
        <w:rPr>
          <w:rFonts w:ascii="Arial" w:eastAsia="Times New Roman" w:hAnsi="Arial" w:cs="Arial"/>
          <w:bCs/>
          <w:color w:val="000000"/>
          <w:sz w:val="20"/>
          <w:szCs w:val="20"/>
          <w:lang w:val="en-US" w:eastAsia="en-MY"/>
        </w:rPr>
        <w:t xml:space="preserve"> WUTMI </w:t>
      </w:r>
      <w:r w:rsidR="00E06484" w:rsidRPr="00ED4C78">
        <w:rPr>
          <w:rFonts w:ascii="Arial" w:eastAsia="Times New Roman" w:hAnsi="Arial" w:cs="Arial"/>
          <w:bCs/>
          <w:color w:val="000000"/>
          <w:sz w:val="20"/>
          <w:szCs w:val="20"/>
          <w:lang w:val="en-US" w:eastAsia="en-MY"/>
        </w:rPr>
        <w:t>would</w:t>
      </w:r>
      <w:r w:rsidRPr="00ED4C78">
        <w:rPr>
          <w:rFonts w:ascii="Arial" w:eastAsia="Times New Roman" w:hAnsi="Arial" w:cs="Arial"/>
          <w:bCs/>
          <w:color w:val="000000"/>
          <w:sz w:val="20"/>
          <w:szCs w:val="20"/>
          <w:lang w:val="en-US" w:eastAsia="en-MY"/>
        </w:rPr>
        <w:t xml:space="preserve"> support WB projects in</w:t>
      </w:r>
      <w:r w:rsidR="00E06484" w:rsidRPr="00ED4C78">
        <w:rPr>
          <w:rFonts w:ascii="Arial" w:eastAsia="Times New Roman" w:hAnsi="Arial" w:cs="Arial"/>
          <w:bCs/>
          <w:color w:val="000000"/>
          <w:sz w:val="20"/>
          <w:szCs w:val="20"/>
          <w:lang w:val="en-US" w:eastAsia="en-MY"/>
        </w:rPr>
        <w:t xml:space="preserve"> </w:t>
      </w:r>
      <w:r w:rsidRPr="00ED4C78">
        <w:rPr>
          <w:rFonts w:ascii="Arial" w:eastAsia="Times New Roman" w:hAnsi="Arial" w:cs="Arial"/>
          <w:bCs/>
          <w:color w:val="000000"/>
          <w:sz w:val="20"/>
          <w:szCs w:val="20"/>
          <w:lang w:val="en-US" w:eastAsia="en-MY"/>
        </w:rPr>
        <w:t>terms of referrals</w:t>
      </w:r>
      <w:r w:rsidR="00E06484" w:rsidRPr="00ED4C78">
        <w:rPr>
          <w:rFonts w:ascii="Arial" w:eastAsia="Times New Roman" w:hAnsi="Arial" w:cs="Arial"/>
          <w:bCs/>
          <w:color w:val="000000"/>
          <w:sz w:val="20"/>
          <w:szCs w:val="20"/>
          <w:lang w:val="en-US" w:eastAsia="en-MY"/>
        </w:rPr>
        <w:t xml:space="preserve"> of GBV or associated matters</w:t>
      </w:r>
      <w:r w:rsidRPr="00ED4C78">
        <w:rPr>
          <w:rFonts w:ascii="Arial" w:eastAsia="Times New Roman" w:hAnsi="Arial" w:cs="Arial"/>
          <w:bCs/>
          <w:color w:val="000000"/>
          <w:sz w:val="20"/>
          <w:szCs w:val="20"/>
          <w:lang w:val="en-US" w:eastAsia="en-MY"/>
        </w:rPr>
        <w:t xml:space="preserve">.  </w:t>
      </w:r>
      <w:r w:rsidR="00E06484" w:rsidRPr="00ED4C78">
        <w:rPr>
          <w:rFonts w:ascii="Arial" w:eastAsia="Times New Roman" w:hAnsi="Arial" w:cs="Arial"/>
          <w:bCs/>
          <w:color w:val="000000"/>
          <w:sz w:val="20"/>
          <w:szCs w:val="20"/>
          <w:lang w:val="en-US" w:eastAsia="en-MY"/>
        </w:rPr>
        <w:t xml:space="preserve">This is a CIU portfolio-wide </w:t>
      </w:r>
      <w:r w:rsidR="00ED4C78" w:rsidRPr="00ED4C78">
        <w:rPr>
          <w:rFonts w:ascii="Arial" w:eastAsia="Times New Roman" w:hAnsi="Arial" w:cs="Arial"/>
          <w:bCs/>
          <w:color w:val="000000"/>
          <w:sz w:val="20"/>
          <w:szCs w:val="20"/>
          <w:lang w:val="en-US" w:eastAsia="en-MY"/>
        </w:rPr>
        <w:t>initiative and</w:t>
      </w:r>
      <w:r w:rsidR="00AA359F" w:rsidRPr="00ED4C78">
        <w:rPr>
          <w:rFonts w:ascii="Arial" w:eastAsia="Times New Roman" w:hAnsi="Arial" w:cs="Arial"/>
          <w:bCs/>
          <w:color w:val="000000"/>
          <w:sz w:val="20"/>
          <w:szCs w:val="20"/>
          <w:lang w:val="en-US" w:eastAsia="en-MY"/>
        </w:rPr>
        <w:t xml:space="preserve"> is included in the Action table set out below</w:t>
      </w:r>
      <w:r w:rsidR="00E06484" w:rsidRPr="00ED4C78">
        <w:rPr>
          <w:rFonts w:ascii="Arial" w:eastAsia="Times New Roman" w:hAnsi="Arial" w:cs="Arial"/>
          <w:bCs/>
          <w:color w:val="000000"/>
          <w:sz w:val="20"/>
          <w:szCs w:val="20"/>
          <w:lang w:val="en-US" w:eastAsia="en-MY"/>
        </w:rPr>
        <w:t xml:space="preserve">.  </w:t>
      </w:r>
    </w:p>
    <w:p w14:paraId="503DF149" w14:textId="3290B6BC" w:rsidR="00835225" w:rsidRPr="00ED4C78" w:rsidRDefault="00835225" w:rsidP="00FF70B5">
      <w:pPr>
        <w:pStyle w:val="Heading3"/>
      </w:pPr>
      <w:bookmarkStart w:id="21" w:name="_Toc98072629"/>
      <w:r w:rsidRPr="00ED4C78">
        <w:t>MIMIP Project Beneficiaries</w:t>
      </w:r>
      <w:bookmarkEnd w:id="21"/>
    </w:p>
    <w:p w14:paraId="0077131F" w14:textId="5D7CA185" w:rsidR="002E1758" w:rsidRPr="00ED4C78" w:rsidRDefault="0027326F" w:rsidP="00FF70B5">
      <w:pPr>
        <w:pStyle w:val="BodyText"/>
        <w:spacing w:after="240"/>
        <w:ind w:right="-46"/>
        <w:rPr>
          <w:rFonts w:ascii="Arial" w:hAnsi="Arial" w:cs="Arial"/>
          <w:sz w:val="20"/>
          <w:szCs w:val="20"/>
        </w:rPr>
      </w:pPr>
      <w:bookmarkStart w:id="22" w:name="bookmark3"/>
      <w:bookmarkStart w:id="23" w:name="bookmark2"/>
      <w:bookmarkStart w:id="24" w:name="bookmark1"/>
      <w:bookmarkStart w:id="25" w:name="C._Project_Beneficiaries_"/>
      <w:bookmarkEnd w:id="22"/>
      <w:bookmarkEnd w:id="23"/>
      <w:bookmarkEnd w:id="24"/>
      <w:bookmarkEnd w:id="25"/>
      <w:r w:rsidRPr="00ED4C78">
        <w:rPr>
          <w:rFonts w:ascii="Arial" w:hAnsi="Arial" w:cs="Arial"/>
          <w:sz w:val="20"/>
          <w:szCs w:val="20"/>
        </w:rPr>
        <w:t>S</w:t>
      </w:r>
      <w:r w:rsidR="00835225" w:rsidRPr="00ED4C78">
        <w:rPr>
          <w:rFonts w:ascii="Arial" w:hAnsi="Arial" w:cs="Arial"/>
          <w:sz w:val="20"/>
          <w:szCs w:val="20"/>
        </w:rPr>
        <w:t>ea transport</w:t>
      </w:r>
      <w:r w:rsidR="00835225" w:rsidRPr="00ED4C78">
        <w:rPr>
          <w:rFonts w:ascii="Arial" w:hAnsi="Arial" w:cs="Arial"/>
          <w:spacing w:val="3"/>
          <w:sz w:val="20"/>
          <w:szCs w:val="20"/>
        </w:rPr>
        <w:t xml:space="preserve"> </w:t>
      </w:r>
      <w:r w:rsidR="00835225" w:rsidRPr="00ED4C78">
        <w:rPr>
          <w:rFonts w:ascii="Arial" w:hAnsi="Arial" w:cs="Arial"/>
          <w:sz w:val="20"/>
          <w:szCs w:val="20"/>
        </w:rPr>
        <w:t>services</w:t>
      </w:r>
      <w:r w:rsidR="00835225" w:rsidRPr="00ED4C78">
        <w:rPr>
          <w:rFonts w:ascii="Arial" w:hAnsi="Arial" w:cs="Arial"/>
          <w:spacing w:val="3"/>
          <w:sz w:val="20"/>
          <w:szCs w:val="20"/>
        </w:rPr>
        <w:t xml:space="preserve"> </w:t>
      </w:r>
      <w:r w:rsidR="00835225" w:rsidRPr="00ED4C78">
        <w:rPr>
          <w:rFonts w:ascii="Arial" w:hAnsi="Arial" w:cs="Arial"/>
          <w:spacing w:val="-2"/>
          <w:sz w:val="20"/>
          <w:szCs w:val="20"/>
        </w:rPr>
        <w:t>are</w:t>
      </w:r>
      <w:r w:rsidR="00835225" w:rsidRPr="00ED4C78">
        <w:rPr>
          <w:rFonts w:ascii="Arial" w:hAnsi="Arial" w:cs="Arial"/>
          <w:spacing w:val="3"/>
          <w:sz w:val="20"/>
          <w:szCs w:val="20"/>
        </w:rPr>
        <w:t xml:space="preserve"> </w:t>
      </w:r>
      <w:r w:rsidR="00835225" w:rsidRPr="00ED4C78">
        <w:rPr>
          <w:rFonts w:ascii="Arial" w:hAnsi="Arial" w:cs="Arial"/>
          <w:sz w:val="20"/>
          <w:szCs w:val="20"/>
        </w:rPr>
        <w:t>considered essential</w:t>
      </w:r>
      <w:r w:rsidR="00835225" w:rsidRPr="00ED4C78">
        <w:rPr>
          <w:rFonts w:ascii="Arial" w:hAnsi="Arial" w:cs="Arial"/>
          <w:spacing w:val="3"/>
          <w:sz w:val="20"/>
          <w:szCs w:val="20"/>
        </w:rPr>
        <w:t xml:space="preserve"> </w:t>
      </w:r>
      <w:r w:rsidR="00835225" w:rsidRPr="00ED4C78">
        <w:rPr>
          <w:rFonts w:ascii="Arial" w:hAnsi="Arial" w:cs="Arial"/>
          <w:sz w:val="20"/>
          <w:szCs w:val="20"/>
        </w:rPr>
        <w:t>for</w:t>
      </w:r>
      <w:r w:rsidR="00835225" w:rsidRPr="00ED4C78">
        <w:rPr>
          <w:rFonts w:ascii="Arial" w:hAnsi="Arial" w:cs="Arial"/>
          <w:spacing w:val="2"/>
          <w:sz w:val="20"/>
          <w:szCs w:val="20"/>
        </w:rPr>
        <w:t xml:space="preserve"> </w:t>
      </w:r>
      <w:r w:rsidR="00835225" w:rsidRPr="00ED4C78">
        <w:rPr>
          <w:rFonts w:ascii="Arial" w:hAnsi="Arial" w:cs="Arial"/>
          <w:sz w:val="20"/>
          <w:szCs w:val="20"/>
        </w:rPr>
        <w:t>the</w:t>
      </w:r>
      <w:r w:rsidR="00835225" w:rsidRPr="00ED4C78">
        <w:rPr>
          <w:rFonts w:ascii="Arial" w:hAnsi="Arial" w:cs="Arial"/>
          <w:spacing w:val="3"/>
          <w:sz w:val="20"/>
          <w:szCs w:val="20"/>
        </w:rPr>
        <w:t xml:space="preserve"> </w:t>
      </w:r>
      <w:r w:rsidR="00835225" w:rsidRPr="00ED4C78">
        <w:rPr>
          <w:rFonts w:ascii="Arial" w:hAnsi="Arial" w:cs="Arial"/>
          <w:sz w:val="20"/>
          <w:szCs w:val="20"/>
        </w:rPr>
        <w:t>basic economic</w:t>
      </w:r>
      <w:r w:rsidR="00835225" w:rsidRPr="00ED4C78">
        <w:rPr>
          <w:rFonts w:ascii="Arial" w:hAnsi="Arial" w:cs="Arial"/>
          <w:spacing w:val="3"/>
          <w:sz w:val="20"/>
          <w:szCs w:val="20"/>
        </w:rPr>
        <w:t xml:space="preserve"> </w:t>
      </w:r>
      <w:r w:rsidR="00835225" w:rsidRPr="00ED4C78">
        <w:rPr>
          <w:rFonts w:ascii="Arial" w:hAnsi="Arial" w:cs="Arial"/>
          <w:sz w:val="20"/>
          <w:szCs w:val="20"/>
        </w:rPr>
        <w:t>and</w:t>
      </w:r>
      <w:r w:rsidR="00835225" w:rsidRPr="00ED4C78">
        <w:rPr>
          <w:rFonts w:ascii="Arial" w:hAnsi="Arial" w:cs="Arial"/>
          <w:spacing w:val="2"/>
          <w:sz w:val="20"/>
          <w:szCs w:val="20"/>
        </w:rPr>
        <w:t xml:space="preserve"> </w:t>
      </w:r>
      <w:r w:rsidR="00835225" w:rsidRPr="00ED4C78">
        <w:rPr>
          <w:rFonts w:ascii="Arial" w:hAnsi="Arial" w:cs="Arial"/>
          <w:sz w:val="20"/>
          <w:szCs w:val="20"/>
        </w:rPr>
        <w:t>social</w:t>
      </w:r>
      <w:r w:rsidR="00835225" w:rsidRPr="00ED4C78">
        <w:rPr>
          <w:rFonts w:ascii="Arial" w:hAnsi="Arial" w:cs="Arial"/>
          <w:spacing w:val="2"/>
          <w:sz w:val="20"/>
          <w:szCs w:val="20"/>
        </w:rPr>
        <w:t xml:space="preserve"> </w:t>
      </w:r>
      <w:r w:rsidR="00835225" w:rsidRPr="00ED4C78">
        <w:rPr>
          <w:rFonts w:ascii="Arial" w:hAnsi="Arial" w:cs="Arial"/>
          <w:sz w:val="20"/>
          <w:szCs w:val="20"/>
        </w:rPr>
        <w:t>functions</w:t>
      </w:r>
      <w:r w:rsidR="00835225" w:rsidRPr="00ED4C78">
        <w:rPr>
          <w:rFonts w:ascii="Arial" w:hAnsi="Arial" w:cs="Arial"/>
          <w:spacing w:val="1"/>
          <w:sz w:val="20"/>
          <w:szCs w:val="20"/>
        </w:rPr>
        <w:t xml:space="preserve"> </w:t>
      </w:r>
      <w:r w:rsidR="00835225" w:rsidRPr="00ED4C78">
        <w:rPr>
          <w:rFonts w:ascii="Arial" w:hAnsi="Arial" w:cs="Arial"/>
          <w:sz w:val="20"/>
          <w:szCs w:val="20"/>
        </w:rPr>
        <w:t>in</w:t>
      </w:r>
      <w:r w:rsidR="00835225" w:rsidRPr="00ED4C78">
        <w:rPr>
          <w:rFonts w:ascii="Arial" w:hAnsi="Arial" w:cs="Arial"/>
          <w:spacing w:val="2"/>
          <w:sz w:val="20"/>
          <w:szCs w:val="20"/>
        </w:rPr>
        <w:t xml:space="preserve"> </w:t>
      </w:r>
      <w:r w:rsidR="00835225" w:rsidRPr="00ED4C78">
        <w:rPr>
          <w:rFonts w:ascii="Arial" w:hAnsi="Arial" w:cs="Arial"/>
          <w:sz w:val="20"/>
          <w:szCs w:val="20"/>
        </w:rPr>
        <w:t>RMI,</w:t>
      </w:r>
      <w:r w:rsidR="00835225" w:rsidRPr="00ED4C78">
        <w:rPr>
          <w:rFonts w:ascii="Arial" w:hAnsi="Arial" w:cs="Arial"/>
          <w:spacing w:val="3"/>
          <w:sz w:val="20"/>
          <w:szCs w:val="20"/>
        </w:rPr>
        <w:t xml:space="preserve"> </w:t>
      </w:r>
      <w:r w:rsidRPr="00ED4C78">
        <w:rPr>
          <w:rFonts w:ascii="Arial" w:hAnsi="Arial" w:cs="Arial"/>
          <w:spacing w:val="3"/>
          <w:sz w:val="20"/>
          <w:szCs w:val="20"/>
        </w:rPr>
        <w:t xml:space="preserve">and therefore </w:t>
      </w:r>
      <w:r w:rsidR="00835225" w:rsidRPr="00ED4C78">
        <w:rPr>
          <w:rFonts w:ascii="Arial" w:hAnsi="Arial" w:cs="Arial"/>
          <w:spacing w:val="-2"/>
          <w:sz w:val="20"/>
          <w:szCs w:val="20"/>
        </w:rPr>
        <w:t>improving</w:t>
      </w:r>
      <w:r w:rsidR="00835225" w:rsidRPr="00ED4C78">
        <w:rPr>
          <w:rFonts w:ascii="Arial" w:hAnsi="Arial" w:cs="Arial"/>
          <w:spacing w:val="2"/>
          <w:sz w:val="20"/>
          <w:szCs w:val="20"/>
        </w:rPr>
        <w:t xml:space="preserve"> </w:t>
      </w:r>
      <w:r w:rsidR="00835225" w:rsidRPr="00ED4C78">
        <w:rPr>
          <w:rFonts w:ascii="Arial" w:hAnsi="Arial" w:cs="Arial"/>
          <w:sz w:val="20"/>
          <w:szCs w:val="20"/>
        </w:rPr>
        <w:t>the</w:t>
      </w:r>
      <w:r w:rsidR="00835225" w:rsidRPr="00ED4C78">
        <w:rPr>
          <w:rFonts w:ascii="Arial" w:hAnsi="Arial" w:cs="Arial"/>
          <w:spacing w:val="77"/>
          <w:sz w:val="20"/>
          <w:szCs w:val="20"/>
        </w:rPr>
        <w:t xml:space="preserve"> </w:t>
      </w:r>
      <w:r w:rsidR="00835225" w:rsidRPr="00ED4C78">
        <w:rPr>
          <w:rFonts w:ascii="Arial" w:hAnsi="Arial" w:cs="Arial"/>
          <w:sz w:val="20"/>
          <w:szCs w:val="20"/>
        </w:rPr>
        <w:t>safety,</w:t>
      </w:r>
      <w:r w:rsidR="00835225" w:rsidRPr="00ED4C78">
        <w:rPr>
          <w:rFonts w:ascii="Arial" w:hAnsi="Arial" w:cs="Arial"/>
          <w:spacing w:val="15"/>
          <w:sz w:val="20"/>
          <w:szCs w:val="20"/>
        </w:rPr>
        <w:t xml:space="preserve"> </w:t>
      </w:r>
      <w:r w:rsidR="00835225" w:rsidRPr="00ED4C78">
        <w:rPr>
          <w:rFonts w:ascii="Arial" w:hAnsi="Arial" w:cs="Arial"/>
          <w:sz w:val="20"/>
          <w:szCs w:val="20"/>
        </w:rPr>
        <w:t>efficiency</w:t>
      </w:r>
      <w:r w:rsidR="00835225" w:rsidRPr="00ED4C78">
        <w:rPr>
          <w:rFonts w:ascii="Arial" w:hAnsi="Arial" w:cs="Arial"/>
          <w:spacing w:val="15"/>
          <w:sz w:val="20"/>
          <w:szCs w:val="20"/>
        </w:rPr>
        <w:t xml:space="preserve"> </w:t>
      </w:r>
      <w:r w:rsidR="00835225" w:rsidRPr="00ED4C78">
        <w:rPr>
          <w:rFonts w:ascii="Arial" w:hAnsi="Arial" w:cs="Arial"/>
          <w:sz w:val="20"/>
          <w:szCs w:val="20"/>
        </w:rPr>
        <w:t>and</w:t>
      </w:r>
      <w:r w:rsidR="00835225" w:rsidRPr="00ED4C78">
        <w:rPr>
          <w:rFonts w:ascii="Arial" w:hAnsi="Arial" w:cs="Arial"/>
          <w:spacing w:val="11"/>
          <w:sz w:val="20"/>
          <w:szCs w:val="20"/>
        </w:rPr>
        <w:t xml:space="preserve"> </w:t>
      </w:r>
      <w:r w:rsidR="00835225" w:rsidRPr="00ED4C78">
        <w:rPr>
          <w:rFonts w:ascii="Arial" w:hAnsi="Arial" w:cs="Arial"/>
          <w:sz w:val="20"/>
          <w:szCs w:val="20"/>
        </w:rPr>
        <w:t>climate</w:t>
      </w:r>
      <w:r w:rsidR="00835225" w:rsidRPr="00ED4C78">
        <w:rPr>
          <w:rFonts w:ascii="Arial" w:hAnsi="Arial" w:cs="Arial"/>
          <w:spacing w:val="15"/>
          <w:sz w:val="20"/>
          <w:szCs w:val="20"/>
        </w:rPr>
        <w:t xml:space="preserve"> </w:t>
      </w:r>
      <w:r w:rsidR="00835225" w:rsidRPr="00ED4C78">
        <w:rPr>
          <w:rFonts w:ascii="Arial" w:hAnsi="Arial" w:cs="Arial"/>
          <w:sz w:val="20"/>
          <w:szCs w:val="20"/>
        </w:rPr>
        <w:t>resilience</w:t>
      </w:r>
      <w:r w:rsidR="00835225" w:rsidRPr="00ED4C78">
        <w:rPr>
          <w:rFonts w:ascii="Arial" w:hAnsi="Arial" w:cs="Arial"/>
          <w:spacing w:val="10"/>
          <w:sz w:val="20"/>
          <w:szCs w:val="20"/>
        </w:rPr>
        <w:t xml:space="preserve"> </w:t>
      </w:r>
      <w:r w:rsidR="00835225" w:rsidRPr="00ED4C78">
        <w:rPr>
          <w:rFonts w:ascii="Arial" w:hAnsi="Arial" w:cs="Arial"/>
          <w:sz w:val="20"/>
          <w:szCs w:val="20"/>
        </w:rPr>
        <w:t>of</w:t>
      </w:r>
      <w:r w:rsidR="00835225" w:rsidRPr="00ED4C78">
        <w:rPr>
          <w:rFonts w:ascii="Arial" w:hAnsi="Arial" w:cs="Arial"/>
          <w:spacing w:val="12"/>
          <w:sz w:val="20"/>
          <w:szCs w:val="20"/>
        </w:rPr>
        <w:t xml:space="preserve"> </w:t>
      </w:r>
      <w:r w:rsidR="00835225" w:rsidRPr="00ED4C78">
        <w:rPr>
          <w:rFonts w:ascii="Arial" w:hAnsi="Arial" w:cs="Arial"/>
          <w:sz w:val="20"/>
          <w:szCs w:val="20"/>
        </w:rPr>
        <w:t>maritime</w:t>
      </w:r>
      <w:r w:rsidR="00835225" w:rsidRPr="00ED4C78">
        <w:rPr>
          <w:rFonts w:ascii="Arial" w:hAnsi="Arial" w:cs="Arial"/>
          <w:spacing w:val="13"/>
          <w:sz w:val="20"/>
          <w:szCs w:val="20"/>
        </w:rPr>
        <w:t xml:space="preserve"> </w:t>
      </w:r>
      <w:r w:rsidR="00835225" w:rsidRPr="00ED4C78">
        <w:rPr>
          <w:rFonts w:ascii="Arial" w:hAnsi="Arial" w:cs="Arial"/>
          <w:sz w:val="20"/>
          <w:szCs w:val="20"/>
        </w:rPr>
        <w:t>infrastructure</w:t>
      </w:r>
      <w:r w:rsidR="00835225" w:rsidRPr="00ED4C78">
        <w:rPr>
          <w:rFonts w:ascii="Arial" w:hAnsi="Arial" w:cs="Arial"/>
          <w:spacing w:val="13"/>
          <w:sz w:val="20"/>
          <w:szCs w:val="20"/>
        </w:rPr>
        <w:t xml:space="preserve"> </w:t>
      </w:r>
      <w:r w:rsidR="00835225" w:rsidRPr="00ED4C78">
        <w:rPr>
          <w:rFonts w:ascii="Arial" w:hAnsi="Arial" w:cs="Arial"/>
          <w:sz w:val="20"/>
          <w:szCs w:val="20"/>
        </w:rPr>
        <w:t>and</w:t>
      </w:r>
      <w:r w:rsidR="00835225" w:rsidRPr="00ED4C78">
        <w:rPr>
          <w:rFonts w:ascii="Arial" w:hAnsi="Arial" w:cs="Arial"/>
          <w:spacing w:val="11"/>
          <w:sz w:val="20"/>
          <w:szCs w:val="20"/>
        </w:rPr>
        <w:t xml:space="preserve"> </w:t>
      </w:r>
      <w:r w:rsidR="00835225" w:rsidRPr="00ED4C78">
        <w:rPr>
          <w:rFonts w:ascii="Arial" w:hAnsi="Arial" w:cs="Arial"/>
          <w:sz w:val="20"/>
          <w:szCs w:val="20"/>
        </w:rPr>
        <w:t>operations</w:t>
      </w:r>
      <w:r w:rsidR="00835225" w:rsidRPr="00ED4C78">
        <w:rPr>
          <w:rFonts w:ascii="Arial" w:hAnsi="Arial" w:cs="Arial"/>
          <w:spacing w:val="15"/>
          <w:sz w:val="20"/>
          <w:szCs w:val="20"/>
        </w:rPr>
        <w:t xml:space="preserve"> </w:t>
      </w:r>
      <w:r w:rsidR="00835225" w:rsidRPr="00ED4C78">
        <w:rPr>
          <w:rFonts w:ascii="Arial" w:hAnsi="Arial" w:cs="Arial"/>
          <w:sz w:val="20"/>
          <w:szCs w:val="20"/>
        </w:rPr>
        <w:t>will</w:t>
      </w:r>
      <w:r w:rsidR="00835225" w:rsidRPr="00ED4C78">
        <w:rPr>
          <w:rFonts w:ascii="Arial" w:hAnsi="Arial" w:cs="Arial"/>
          <w:spacing w:val="14"/>
          <w:sz w:val="20"/>
          <w:szCs w:val="20"/>
        </w:rPr>
        <w:t xml:space="preserve"> </w:t>
      </w:r>
      <w:r w:rsidR="00835225" w:rsidRPr="00ED4C78">
        <w:rPr>
          <w:rFonts w:ascii="Arial" w:hAnsi="Arial" w:cs="Arial"/>
          <w:sz w:val="20"/>
          <w:szCs w:val="20"/>
        </w:rPr>
        <w:t>have</w:t>
      </w:r>
      <w:r w:rsidR="00835225" w:rsidRPr="00ED4C78">
        <w:rPr>
          <w:rFonts w:ascii="Arial" w:hAnsi="Arial" w:cs="Arial"/>
          <w:spacing w:val="13"/>
          <w:sz w:val="20"/>
          <w:szCs w:val="20"/>
        </w:rPr>
        <w:t xml:space="preserve"> </w:t>
      </w:r>
      <w:r w:rsidR="00835225" w:rsidRPr="00ED4C78">
        <w:rPr>
          <w:rFonts w:ascii="Arial" w:hAnsi="Arial" w:cs="Arial"/>
          <w:sz w:val="20"/>
          <w:szCs w:val="20"/>
        </w:rPr>
        <w:t>benefits</w:t>
      </w:r>
      <w:r w:rsidR="00835225" w:rsidRPr="00ED4C78">
        <w:rPr>
          <w:rFonts w:ascii="Arial" w:hAnsi="Arial" w:cs="Arial"/>
          <w:spacing w:val="15"/>
          <w:sz w:val="20"/>
          <w:szCs w:val="20"/>
        </w:rPr>
        <w:t xml:space="preserve"> </w:t>
      </w:r>
      <w:r w:rsidR="00835225" w:rsidRPr="00ED4C78">
        <w:rPr>
          <w:rFonts w:ascii="Arial" w:hAnsi="Arial" w:cs="Arial"/>
          <w:sz w:val="20"/>
          <w:szCs w:val="20"/>
        </w:rPr>
        <w:t>for</w:t>
      </w:r>
      <w:r w:rsidR="00835225" w:rsidRPr="00ED4C78">
        <w:rPr>
          <w:rFonts w:ascii="Arial" w:hAnsi="Arial" w:cs="Arial"/>
          <w:spacing w:val="12"/>
          <w:sz w:val="20"/>
          <w:szCs w:val="20"/>
        </w:rPr>
        <w:t xml:space="preserve"> </w:t>
      </w:r>
      <w:r w:rsidR="00835225" w:rsidRPr="00ED4C78">
        <w:rPr>
          <w:rFonts w:ascii="Arial" w:hAnsi="Arial" w:cs="Arial"/>
          <w:sz w:val="20"/>
          <w:szCs w:val="20"/>
        </w:rPr>
        <w:t>the</w:t>
      </w:r>
      <w:r w:rsidR="00835225" w:rsidRPr="00ED4C78">
        <w:rPr>
          <w:rFonts w:ascii="Arial" w:hAnsi="Arial" w:cs="Arial"/>
          <w:spacing w:val="13"/>
          <w:sz w:val="20"/>
          <w:szCs w:val="20"/>
        </w:rPr>
        <w:t xml:space="preserve"> </w:t>
      </w:r>
      <w:r w:rsidR="00835225" w:rsidRPr="00ED4C78">
        <w:rPr>
          <w:rFonts w:ascii="Arial" w:hAnsi="Arial" w:cs="Arial"/>
          <w:sz w:val="20"/>
          <w:szCs w:val="20"/>
        </w:rPr>
        <w:t>entire</w:t>
      </w:r>
      <w:r w:rsidR="00835225" w:rsidRPr="00ED4C78">
        <w:rPr>
          <w:rFonts w:ascii="Arial" w:hAnsi="Arial" w:cs="Arial"/>
          <w:spacing w:val="56"/>
          <w:sz w:val="20"/>
          <w:szCs w:val="20"/>
        </w:rPr>
        <w:t xml:space="preserve"> </w:t>
      </w:r>
      <w:r w:rsidR="00835225" w:rsidRPr="00ED4C78">
        <w:rPr>
          <w:rFonts w:ascii="Arial" w:hAnsi="Arial" w:cs="Arial"/>
          <w:sz w:val="20"/>
          <w:szCs w:val="20"/>
        </w:rPr>
        <w:t>population.</w:t>
      </w:r>
      <w:r w:rsidR="00835225" w:rsidRPr="00ED4C78">
        <w:rPr>
          <w:rFonts w:ascii="Arial" w:hAnsi="Arial" w:cs="Arial"/>
          <w:spacing w:val="14"/>
          <w:sz w:val="20"/>
          <w:szCs w:val="20"/>
        </w:rPr>
        <w:t xml:space="preserve"> </w:t>
      </w:r>
    </w:p>
    <w:p w14:paraId="2F1E90F5" w14:textId="2F5FC3FF" w:rsidR="0027326F" w:rsidRPr="00ED4C78" w:rsidRDefault="00835225" w:rsidP="00FF70B5">
      <w:pPr>
        <w:pStyle w:val="BodyText"/>
        <w:spacing w:after="240"/>
        <w:ind w:right="-46"/>
        <w:rPr>
          <w:rFonts w:ascii="Arial" w:hAnsi="Arial" w:cs="Arial"/>
          <w:spacing w:val="33"/>
          <w:sz w:val="20"/>
          <w:szCs w:val="20"/>
        </w:rPr>
      </w:pPr>
      <w:r w:rsidRPr="00ED4C78">
        <w:rPr>
          <w:rFonts w:ascii="Arial" w:hAnsi="Arial" w:cs="Arial"/>
          <w:sz w:val="20"/>
          <w:szCs w:val="20"/>
        </w:rPr>
        <w:t>In</w:t>
      </w:r>
      <w:r w:rsidRPr="00ED4C78">
        <w:rPr>
          <w:rFonts w:ascii="Arial" w:hAnsi="Arial" w:cs="Arial"/>
          <w:spacing w:val="11"/>
          <w:sz w:val="20"/>
          <w:szCs w:val="20"/>
        </w:rPr>
        <w:t xml:space="preserve"> </w:t>
      </w:r>
      <w:r w:rsidRPr="00ED4C78">
        <w:rPr>
          <w:rFonts w:ascii="Arial" w:hAnsi="Arial" w:cs="Arial"/>
          <w:sz w:val="20"/>
          <w:szCs w:val="20"/>
        </w:rPr>
        <w:t>strengthening</w:t>
      </w:r>
      <w:r w:rsidRPr="00ED4C78">
        <w:rPr>
          <w:rFonts w:ascii="Arial" w:hAnsi="Arial" w:cs="Arial"/>
          <w:spacing w:val="14"/>
          <w:sz w:val="20"/>
          <w:szCs w:val="20"/>
        </w:rPr>
        <w:t xml:space="preserve"> </w:t>
      </w:r>
      <w:r w:rsidRPr="00ED4C78">
        <w:rPr>
          <w:rFonts w:ascii="Arial" w:hAnsi="Arial" w:cs="Arial"/>
          <w:sz w:val="20"/>
          <w:szCs w:val="20"/>
        </w:rPr>
        <w:t>the</w:t>
      </w:r>
      <w:r w:rsidRPr="00ED4C78">
        <w:rPr>
          <w:rFonts w:ascii="Arial" w:hAnsi="Arial" w:cs="Arial"/>
          <w:spacing w:val="13"/>
          <w:sz w:val="20"/>
          <w:szCs w:val="20"/>
        </w:rPr>
        <w:t xml:space="preserve"> </w:t>
      </w:r>
      <w:r w:rsidRPr="00ED4C78">
        <w:rPr>
          <w:rFonts w:ascii="Arial" w:hAnsi="Arial" w:cs="Arial"/>
          <w:sz w:val="20"/>
          <w:szCs w:val="20"/>
        </w:rPr>
        <w:t>climate</w:t>
      </w:r>
      <w:r w:rsidRPr="00ED4C78">
        <w:rPr>
          <w:rFonts w:ascii="Arial" w:hAnsi="Arial" w:cs="Arial"/>
          <w:spacing w:val="13"/>
          <w:sz w:val="20"/>
          <w:szCs w:val="20"/>
        </w:rPr>
        <w:t xml:space="preserve"> </w:t>
      </w:r>
      <w:r w:rsidRPr="00ED4C78">
        <w:rPr>
          <w:rFonts w:ascii="Arial" w:hAnsi="Arial" w:cs="Arial"/>
          <w:sz w:val="20"/>
          <w:szCs w:val="20"/>
        </w:rPr>
        <w:t>resilience</w:t>
      </w:r>
      <w:r w:rsidRPr="00ED4C78">
        <w:rPr>
          <w:rFonts w:ascii="Arial" w:hAnsi="Arial" w:cs="Arial"/>
          <w:spacing w:val="13"/>
          <w:sz w:val="20"/>
          <w:szCs w:val="20"/>
        </w:rPr>
        <w:t xml:space="preserve"> </w:t>
      </w:r>
      <w:r w:rsidRPr="00ED4C78">
        <w:rPr>
          <w:rFonts w:ascii="Arial" w:hAnsi="Arial" w:cs="Arial"/>
          <w:sz w:val="20"/>
          <w:szCs w:val="20"/>
        </w:rPr>
        <w:t>of</w:t>
      </w:r>
      <w:r w:rsidRPr="00ED4C78">
        <w:rPr>
          <w:rFonts w:ascii="Arial" w:hAnsi="Arial" w:cs="Arial"/>
          <w:spacing w:val="14"/>
          <w:sz w:val="20"/>
          <w:szCs w:val="20"/>
        </w:rPr>
        <w:t xml:space="preserve"> </w:t>
      </w:r>
      <w:r w:rsidRPr="00ED4C78">
        <w:rPr>
          <w:rFonts w:ascii="Arial" w:hAnsi="Arial" w:cs="Arial"/>
          <w:sz w:val="20"/>
          <w:szCs w:val="20"/>
        </w:rPr>
        <w:t>the</w:t>
      </w:r>
      <w:r w:rsidRPr="00ED4C78">
        <w:rPr>
          <w:rFonts w:ascii="Arial" w:hAnsi="Arial" w:cs="Arial"/>
          <w:spacing w:val="10"/>
          <w:sz w:val="20"/>
          <w:szCs w:val="20"/>
        </w:rPr>
        <w:t xml:space="preserve"> </w:t>
      </w:r>
      <w:r w:rsidRPr="00ED4C78">
        <w:rPr>
          <w:rFonts w:ascii="Arial" w:hAnsi="Arial" w:cs="Arial"/>
          <w:sz w:val="20"/>
          <w:szCs w:val="20"/>
        </w:rPr>
        <w:t>maritime</w:t>
      </w:r>
      <w:r w:rsidRPr="00ED4C78">
        <w:rPr>
          <w:rFonts w:ascii="Arial" w:hAnsi="Arial" w:cs="Arial"/>
          <w:spacing w:val="13"/>
          <w:sz w:val="20"/>
          <w:szCs w:val="20"/>
        </w:rPr>
        <w:t xml:space="preserve"> </w:t>
      </w:r>
      <w:r w:rsidRPr="00ED4C78">
        <w:rPr>
          <w:rFonts w:ascii="Arial" w:hAnsi="Arial" w:cs="Arial"/>
          <w:sz w:val="20"/>
          <w:szCs w:val="20"/>
        </w:rPr>
        <w:t>network,</w:t>
      </w:r>
      <w:r w:rsidRPr="00ED4C78">
        <w:rPr>
          <w:rFonts w:ascii="Arial" w:hAnsi="Arial" w:cs="Arial"/>
          <w:spacing w:val="12"/>
          <w:sz w:val="20"/>
          <w:szCs w:val="20"/>
        </w:rPr>
        <w:t xml:space="preserve"> </w:t>
      </w:r>
      <w:r w:rsidRPr="00ED4C78">
        <w:rPr>
          <w:rFonts w:ascii="Arial" w:hAnsi="Arial" w:cs="Arial"/>
          <w:spacing w:val="-2"/>
          <w:sz w:val="20"/>
          <w:szCs w:val="20"/>
        </w:rPr>
        <w:t>the</w:t>
      </w:r>
      <w:r w:rsidRPr="00ED4C78">
        <w:rPr>
          <w:rFonts w:ascii="Arial" w:hAnsi="Arial" w:cs="Arial"/>
          <w:spacing w:val="15"/>
          <w:sz w:val="20"/>
          <w:szCs w:val="20"/>
        </w:rPr>
        <w:t xml:space="preserve"> </w:t>
      </w:r>
      <w:r w:rsidR="0027326F" w:rsidRPr="00ED4C78">
        <w:rPr>
          <w:rFonts w:ascii="Arial" w:hAnsi="Arial" w:cs="Arial"/>
          <w:sz w:val="20"/>
          <w:szCs w:val="20"/>
        </w:rPr>
        <w:t>P</w:t>
      </w:r>
      <w:r w:rsidRPr="00ED4C78">
        <w:rPr>
          <w:rFonts w:ascii="Arial" w:hAnsi="Arial" w:cs="Arial"/>
          <w:sz w:val="20"/>
          <w:szCs w:val="20"/>
        </w:rPr>
        <w:t>roject</w:t>
      </w:r>
      <w:r w:rsidRPr="00ED4C78">
        <w:rPr>
          <w:rFonts w:ascii="Arial" w:hAnsi="Arial" w:cs="Arial"/>
          <w:spacing w:val="15"/>
          <w:sz w:val="20"/>
          <w:szCs w:val="20"/>
        </w:rPr>
        <w:t xml:space="preserve"> </w:t>
      </w:r>
      <w:r w:rsidRPr="00ED4C78">
        <w:rPr>
          <w:rFonts w:ascii="Arial" w:hAnsi="Arial" w:cs="Arial"/>
          <w:sz w:val="20"/>
          <w:szCs w:val="20"/>
        </w:rPr>
        <w:t>activities</w:t>
      </w:r>
      <w:r w:rsidRPr="00ED4C78">
        <w:rPr>
          <w:rFonts w:ascii="Arial" w:hAnsi="Arial" w:cs="Arial"/>
          <w:spacing w:val="12"/>
          <w:sz w:val="20"/>
          <w:szCs w:val="20"/>
        </w:rPr>
        <w:t xml:space="preserve"> </w:t>
      </w:r>
      <w:r w:rsidRPr="00ED4C78">
        <w:rPr>
          <w:rFonts w:ascii="Arial" w:hAnsi="Arial" w:cs="Arial"/>
          <w:sz w:val="20"/>
          <w:szCs w:val="20"/>
        </w:rPr>
        <w:t>will</w:t>
      </w:r>
      <w:r w:rsidRPr="00ED4C78">
        <w:rPr>
          <w:rFonts w:ascii="Arial" w:hAnsi="Arial" w:cs="Arial"/>
          <w:spacing w:val="12"/>
          <w:sz w:val="20"/>
          <w:szCs w:val="20"/>
        </w:rPr>
        <w:t xml:space="preserve"> </w:t>
      </w:r>
      <w:r w:rsidRPr="00ED4C78">
        <w:rPr>
          <w:rFonts w:ascii="Arial" w:hAnsi="Arial" w:cs="Arial"/>
          <w:spacing w:val="-2"/>
          <w:sz w:val="20"/>
          <w:szCs w:val="20"/>
        </w:rPr>
        <w:t>also</w:t>
      </w:r>
      <w:r w:rsidRPr="00ED4C78">
        <w:rPr>
          <w:rFonts w:ascii="Arial" w:hAnsi="Arial" w:cs="Arial"/>
          <w:spacing w:val="16"/>
          <w:sz w:val="20"/>
          <w:szCs w:val="20"/>
        </w:rPr>
        <w:t xml:space="preserve"> </w:t>
      </w:r>
      <w:r w:rsidRPr="00ED4C78">
        <w:rPr>
          <w:rFonts w:ascii="Arial" w:hAnsi="Arial" w:cs="Arial"/>
          <w:sz w:val="20"/>
          <w:szCs w:val="20"/>
        </w:rPr>
        <w:t>help</w:t>
      </w:r>
      <w:r w:rsidRPr="00ED4C78">
        <w:rPr>
          <w:rFonts w:ascii="Arial" w:hAnsi="Arial" w:cs="Arial"/>
          <w:spacing w:val="11"/>
          <w:sz w:val="20"/>
          <w:szCs w:val="20"/>
        </w:rPr>
        <w:t xml:space="preserve"> </w:t>
      </w:r>
      <w:r w:rsidRPr="00ED4C78">
        <w:rPr>
          <w:rFonts w:ascii="Arial" w:hAnsi="Arial" w:cs="Arial"/>
          <w:sz w:val="20"/>
          <w:szCs w:val="20"/>
        </w:rPr>
        <w:t>to</w:t>
      </w:r>
      <w:r w:rsidRPr="00ED4C78">
        <w:rPr>
          <w:rFonts w:ascii="Arial" w:hAnsi="Arial" w:cs="Arial"/>
          <w:spacing w:val="75"/>
          <w:sz w:val="20"/>
          <w:szCs w:val="20"/>
        </w:rPr>
        <w:t xml:space="preserve"> </w:t>
      </w:r>
      <w:r w:rsidRPr="00ED4C78">
        <w:rPr>
          <w:rFonts w:ascii="Arial" w:hAnsi="Arial" w:cs="Arial"/>
          <w:sz w:val="20"/>
          <w:szCs w:val="20"/>
        </w:rPr>
        <w:t>deliver</w:t>
      </w:r>
      <w:r w:rsidRPr="00ED4C78">
        <w:rPr>
          <w:rFonts w:ascii="Arial" w:hAnsi="Arial" w:cs="Arial"/>
          <w:spacing w:val="19"/>
          <w:sz w:val="20"/>
          <w:szCs w:val="20"/>
        </w:rPr>
        <w:t xml:space="preserve"> </w:t>
      </w:r>
      <w:r w:rsidRPr="00ED4C78">
        <w:rPr>
          <w:rFonts w:ascii="Arial" w:hAnsi="Arial" w:cs="Arial"/>
          <w:sz w:val="20"/>
          <w:szCs w:val="20"/>
        </w:rPr>
        <w:t>indirect</w:t>
      </w:r>
      <w:r w:rsidRPr="00ED4C78">
        <w:rPr>
          <w:rFonts w:ascii="Arial" w:hAnsi="Arial" w:cs="Arial"/>
          <w:spacing w:val="20"/>
          <w:sz w:val="20"/>
          <w:szCs w:val="20"/>
        </w:rPr>
        <w:t xml:space="preserve"> </w:t>
      </w:r>
      <w:r w:rsidRPr="00ED4C78">
        <w:rPr>
          <w:rFonts w:ascii="Arial" w:hAnsi="Arial" w:cs="Arial"/>
          <w:sz w:val="20"/>
          <w:szCs w:val="20"/>
        </w:rPr>
        <w:t>benefits</w:t>
      </w:r>
      <w:r w:rsidRPr="00ED4C78">
        <w:rPr>
          <w:rFonts w:ascii="Arial" w:hAnsi="Arial" w:cs="Arial"/>
          <w:spacing w:val="19"/>
          <w:sz w:val="20"/>
          <w:szCs w:val="20"/>
        </w:rPr>
        <w:t xml:space="preserve"> </w:t>
      </w:r>
      <w:r w:rsidRPr="00ED4C78">
        <w:rPr>
          <w:rFonts w:ascii="Arial" w:hAnsi="Arial" w:cs="Arial"/>
          <w:spacing w:val="-2"/>
          <w:sz w:val="20"/>
          <w:szCs w:val="20"/>
        </w:rPr>
        <w:t>that</w:t>
      </w:r>
      <w:r w:rsidRPr="00ED4C78">
        <w:rPr>
          <w:rFonts w:ascii="Arial" w:hAnsi="Arial" w:cs="Arial"/>
          <w:spacing w:val="22"/>
          <w:sz w:val="20"/>
          <w:szCs w:val="20"/>
        </w:rPr>
        <w:t xml:space="preserve"> </w:t>
      </w:r>
      <w:r w:rsidRPr="00ED4C78">
        <w:rPr>
          <w:rFonts w:ascii="Arial" w:hAnsi="Arial" w:cs="Arial"/>
          <w:sz w:val="20"/>
          <w:szCs w:val="20"/>
        </w:rPr>
        <w:t>extend</w:t>
      </w:r>
      <w:r w:rsidRPr="00ED4C78">
        <w:rPr>
          <w:rFonts w:ascii="Arial" w:hAnsi="Arial" w:cs="Arial"/>
          <w:spacing w:val="21"/>
          <w:sz w:val="20"/>
          <w:szCs w:val="20"/>
        </w:rPr>
        <w:t xml:space="preserve"> </w:t>
      </w:r>
      <w:r w:rsidRPr="00ED4C78">
        <w:rPr>
          <w:rFonts w:ascii="Arial" w:hAnsi="Arial" w:cs="Arial"/>
          <w:sz w:val="20"/>
          <w:szCs w:val="20"/>
        </w:rPr>
        <w:t>beyond</w:t>
      </w:r>
      <w:r w:rsidRPr="00ED4C78">
        <w:rPr>
          <w:rFonts w:ascii="Arial" w:hAnsi="Arial" w:cs="Arial"/>
          <w:spacing w:val="21"/>
          <w:sz w:val="20"/>
          <w:szCs w:val="20"/>
        </w:rPr>
        <w:t xml:space="preserve"> </w:t>
      </w:r>
      <w:r w:rsidRPr="00ED4C78">
        <w:rPr>
          <w:rFonts w:ascii="Arial" w:hAnsi="Arial" w:cs="Arial"/>
          <w:sz w:val="20"/>
          <w:szCs w:val="20"/>
        </w:rPr>
        <w:t>the</w:t>
      </w:r>
      <w:r w:rsidRPr="00ED4C78">
        <w:rPr>
          <w:rFonts w:ascii="Arial" w:hAnsi="Arial" w:cs="Arial"/>
          <w:spacing w:val="20"/>
          <w:sz w:val="20"/>
          <w:szCs w:val="20"/>
        </w:rPr>
        <w:t xml:space="preserve"> </w:t>
      </w:r>
      <w:r w:rsidRPr="00ED4C78">
        <w:rPr>
          <w:rFonts w:ascii="Arial" w:hAnsi="Arial" w:cs="Arial"/>
          <w:spacing w:val="-2"/>
          <w:sz w:val="20"/>
          <w:szCs w:val="20"/>
        </w:rPr>
        <w:t>local</w:t>
      </w:r>
      <w:r w:rsidRPr="00ED4C78">
        <w:rPr>
          <w:rFonts w:ascii="Arial" w:hAnsi="Arial" w:cs="Arial"/>
          <w:spacing w:val="21"/>
          <w:sz w:val="20"/>
          <w:szCs w:val="20"/>
        </w:rPr>
        <w:t xml:space="preserve"> </w:t>
      </w:r>
      <w:r w:rsidRPr="00ED4C78">
        <w:rPr>
          <w:rFonts w:ascii="Arial" w:hAnsi="Arial" w:cs="Arial"/>
          <w:sz w:val="20"/>
          <w:szCs w:val="20"/>
        </w:rPr>
        <w:t>communities.</w:t>
      </w:r>
      <w:r w:rsidRPr="00ED4C78">
        <w:rPr>
          <w:rFonts w:ascii="Arial" w:hAnsi="Arial" w:cs="Arial"/>
          <w:spacing w:val="19"/>
          <w:sz w:val="20"/>
          <w:szCs w:val="20"/>
        </w:rPr>
        <w:t xml:space="preserve"> </w:t>
      </w:r>
      <w:r w:rsidRPr="00ED4C78">
        <w:rPr>
          <w:rFonts w:ascii="Arial" w:hAnsi="Arial" w:cs="Arial"/>
          <w:sz w:val="20"/>
          <w:szCs w:val="20"/>
        </w:rPr>
        <w:t>In</w:t>
      </w:r>
      <w:r w:rsidRPr="00ED4C78">
        <w:rPr>
          <w:rFonts w:ascii="Arial" w:hAnsi="Arial" w:cs="Arial"/>
          <w:spacing w:val="21"/>
          <w:sz w:val="20"/>
          <w:szCs w:val="20"/>
        </w:rPr>
        <w:t xml:space="preserve"> </w:t>
      </w:r>
      <w:r w:rsidRPr="00ED4C78">
        <w:rPr>
          <w:rFonts w:ascii="Arial" w:hAnsi="Arial" w:cs="Arial"/>
          <w:sz w:val="20"/>
          <w:szCs w:val="20"/>
        </w:rPr>
        <w:t>addition,</w:t>
      </w:r>
      <w:r w:rsidRPr="00ED4C78">
        <w:rPr>
          <w:rFonts w:ascii="Arial" w:hAnsi="Arial" w:cs="Arial"/>
          <w:spacing w:val="19"/>
          <w:sz w:val="20"/>
          <w:szCs w:val="20"/>
        </w:rPr>
        <w:t xml:space="preserve"> </w:t>
      </w:r>
      <w:r w:rsidRPr="00ED4C78">
        <w:rPr>
          <w:rFonts w:ascii="Arial" w:hAnsi="Arial" w:cs="Arial"/>
          <w:sz w:val="20"/>
          <w:szCs w:val="20"/>
        </w:rPr>
        <w:t>the</w:t>
      </w:r>
      <w:r w:rsidRPr="00ED4C78">
        <w:rPr>
          <w:rFonts w:ascii="Arial" w:hAnsi="Arial" w:cs="Arial"/>
          <w:spacing w:val="20"/>
          <w:sz w:val="20"/>
          <w:szCs w:val="20"/>
        </w:rPr>
        <w:t xml:space="preserve"> </w:t>
      </w:r>
      <w:r w:rsidRPr="00ED4C78">
        <w:rPr>
          <w:rFonts w:ascii="Arial" w:hAnsi="Arial" w:cs="Arial"/>
          <w:sz w:val="20"/>
          <w:szCs w:val="20"/>
        </w:rPr>
        <w:t>World</w:t>
      </w:r>
      <w:r w:rsidRPr="00ED4C78">
        <w:rPr>
          <w:rFonts w:ascii="Arial" w:hAnsi="Arial" w:cs="Arial"/>
          <w:spacing w:val="21"/>
          <w:sz w:val="20"/>
          <w:szCs w:val="20"/>
        </w:rPr>
        <w:t xml:space="preserve"> </w:t>
      </w:r>
      <w:r w:rsidRPr="00ED4C78">
        <w:rPr>
          <w:rFonts w:ascii="Arial" w:hAnsi="Arial" w:cs="Arial"/>
          <w:sz w:val="20"/>
          <w:szCs w:val="20"/>
        </w:rPr>
        <w:t>Bank</w:t>
      </w:r>
      <w:r w:rsidRPr="00ED4C78">
        <w:rPr>
          <w:rFonts w:ascii="Arial" w:hAnsi="Arial" w:cs="Arial"/>
          <w:spacing w:val="20"/>
          <w:sz w:val="20"/>
          <w:szCs w:val="20"/>
        </w:rPr>
        <w:t xml:space="preserve"> </w:t>
      </w:r>
      <w:r w:rsidRPr="00ED4C78">
        <w:rPr>
          <w:rFonts w:ascii="Arial" w:hAnsi="Arial" w:cs="Arial"/>
          <w:sz w:val="20"/>
          <w:szCs w:val="20"/>
        </w:rPr>
        <w:t>Gender</w:t>
      </w:r>
      <w:r w:rsidRPr="00ED4C78">
        <w:rPr>
          <w:rFonts w:ascii="Arial" w:hAnsi="Arial" w:cs="Arial"/>
          <w:spacing w:val="19"/>
          <w:sz w:val="20"/>
          <w:szCs w:val="20"/>
        </w:rPr>
        <w:t xml:space="preserve"> </w:t>
      </w:r>
      <w:r w:rsidRPr="00ED4C78">
        <w:rPr>
          <w:rFonts w:ascii="Arial" w:hAnsi="Arial" w:cs="Arial"/>
          <w:sz w:val="20"/>
          <w:szCs w:val="20"/>
        </w:rPr>
        <w:t>Strategy</w:t>
      </w:r>
      <w:r w:rsidR="001A460F" w:rsidRPr="00ED4C78">
        <w:rPr>
          <w:rStyle w:val="FootnoteReference"/>
          <w:rFonts w:ascii="Arial" w:hAnsi="Arial" w:cs="Arial"/>
          <w:sz w:val="20"/>
          <w:szCs w:val="20"/>
        </w:rPr>
        <w:footnoteReference w:id="4"/>
      </w:r>
      <w:r w:rsidRPr="00ED4C78">
        <w:rPr>
          <w:rFonts w:ascii="Arial" w:hAnsi="Arial" w:cs="Arial"/>
          <w:spacing w:val="87"/>
          <w:sz w:val="20"/>
          <w:szCs w:val="20"/>
        </w:rPr>
        <w:t xml:space="preserve"> </w:t>
      </w:r>
      <w:r w:rsidRPr="00ED4C78">
        <w:rPr>
          <w:rFonts w:ascii="Arial" w:hAnsi="Arial" w:cs="Arial"/>
          <w:sz w:val="20"/>
          <w:szCs w:val="20"/>
        </w:rPr>
        <w:t>and</w:t>
      </w:r>
      <w:r w:rsidRPr="00ED4C78">
        <w:rPr>
          <w:rFonts w:ascii="Arial" w:hAnsi="Arial" w:cs="Arial"/>
          <w:spacing w:val="19"/>
          <w:sz w:val="20"/>
          <w:szCs w:val="20"/>
        </w:rPr>
        <w:t xml:space="preserve"> </w:t>
      </w:r>
      <w:r w:rsidRPr="00ED4C78">
        <w:rPr>
          <w:rFonts w:ascii="Arial" w:hAnsi="Arial" w:cs="Arial"/>
          <w:sz w:val="20"/>
          <w:szCs w:val="20"/>
        </w:rPr>
        <w:t>the</w:t>
      </w:r>
      <w:r w:rsidRPr="00ED4C78">
        <w:rPr>
          <w:rFonts w:ascii="Arial" w:hAnsi="Arial" w:cs="Arial"/>
          <w:spacing w:val="17"/>
          <w:sz w:val="20"/>
          <w:szCs w:val="20"/>
        </w:rPr>
        <w:t xml:space="preserve"> </w:t>
      </w:r>
      <w:r w:rsidRPr="00ED4C78">
        <w:rPr>
          <w:rFonts w:ascii="Arial" w:hAnsi="Arial" w:cs="Arial"/>
          <w:sz w:val="20"/>
          <w:szCs w:val="20"/>
        </w:rPr>
        <w:t>Transport</w:t>
      </w:r>
      <w:r w:rsidRPr="00ED4C78">
        <w:rPr>
          <w:rFonts w:ascii="Arial" w:hAnsi="Arial" w:cs="Arial"/>
          <w:spacing w:val="17"/>
          <w:sz w:val="20"/>
          <w:szCs w:val="20"/>
        </w:rPr>
        <w:t xml:space="preserve"> </w:t>
      </w:r>
      <w:r w:rsidRPr="00ED4C78">
        <w:rPr>
          <w:rFonts w:ascii="Arial" w:hAnsi="Arial" w:cs="Arial"/>
          <w:sz w:val="20"/>
          <w:szCs w:val="20"/>
        </w:rPr>
        <w:t>Global</w:t>
      </w:r>
      <w:r w:rsidRPr="00ED4C78">
        <w:rPr>
          <w:rFonts w:ascii="Arial" w:hAnsi="Arial" w:cs="Arial"/>
          <w:spacing w:val="15"/>
          <w:sz w:val="20"/>
          <w:szCs w:val="20"/>
        </w:rPr>
        <w:t xml:space="preserve"> </w:t>
      </w:r>
      <w:r w:rsidRPr="00ED4C78">
        <w:rPr>
          <w:rFonts w:ascii="Arial" w:hAnsi="Arial" w:cs="Arial"/>
          <w:sz w:val="20"/>
          <w:szCs w:val="20"/>
        </w:rPr>
        <w:t>Practice</w:t>
      </w:r>
      <w:r w:rsidRPr="00ED4C78">
        <w:rPr>
          <w:rFonts w:ascii="Arial" w:hAnsi="Arial" w:cs="Arial"/>
          <w:spacing w:val="17"/>
          <w:sz w:val="20"/>
          <w:szCs w:val="20"/>
        </w:rPr>
        <w:t xml:space="preserve"> </w:t>
      </w:r>
      <w:r w:rsidRPr="00ED4C78">
        <w:rPr>
          <w:rFonts w:ascii="Arial" w:hAnsi="Arial" w:cs="Arial"/>
          <w:sz w:val="20"/>
          <w:szCs w:val="20"/>
        </w:rPr>
        <w:t>(GP)</w:t>
      </w:r>
      <w:r w:rsidRPr="00ED4C78">
        <w:rPr>
          <w:rFonts w:ascii="Arial" w:hAnsi="Arial" w:cs="Arial"/>
          <w:spacing w:val="20"/>
          <w:sz w:val="20"/>
          <w:szCs w:val="20"/>
        </w:rPr>
        <w:t xml:space="preserve"> </w:t>
      </w:r>
      <w:r w:rsidRPr="00ED4C78">
        <w:rPr>
          <w:rFonts w:ascii="Arial" w:hAnsi="Arial" w:cs="Arial"/>
          <w:sz w:val="20"/>
          <w:szCs w:val="20"/>
        </w:rPr>
        <w:t>Note</w:t>
      </w:r>
      <w:r w:rsidRPr="00ED4C78">
        <w:rPr>
          <w:rFonts w:ascii="Arial" w:hAnsi="Arial" w:cs="Arial"/>
          <w:spacing w:val="17"/>
          <w:sz w:val="20"/>
          <w:szCs w:val="20"/>
        </w:rPr>
        <w:t xml:space="preserve"> </w:t>
      </w:r>
      <w:r w:rsidRPr="00ED4C78">
        <w:rPr>
          <w:rFonts w:ascii="Arial" w:hAnsi="Arial" w:cs="Arial"/>
          <w:sz w:val="20"/>
          <w:szCs w:val="20"/>
        </w:rPr>
        <w:t>(FY17</w:t>
      </w:r>
      <w:r w:rsidRPr="00ED4C78">
        <w:rPr>
          <w:rFonts w:ascii="Arial" w:hAnsi="Arial" w:cs="Arial"/>
          <w:spacing w:val="18"/>
          <w:sz w:val="20"/>
          <w:szCs w:val="20"/>
        </w:rPr>
        <w:t xml:space="preserve"> </w:t>
      </w:r>
      <w:r w:rsidRPr="00ED4C78">
        <w:rPr>
          <w:rFonts w:ascii="Arial" w:hAnsi="Arial" w:cs="Arial"/>
          <w:sz w:val="20"/>
          <w:szCs w:val="20"/>
        </w:rPr>
        <w:t>–</w:t>
      </w:r>
      <w:r w:rsidRPr="00ED4C78">
        <w:rPr>
          <w:rFonts w:ascii="Arial" w:hAnsi="Arial" w:cs="Arial"/>
          <w:spacing w:val="18"/>
          <w:sz w:val="20"/>
          <w:szCs w:val="20"/>
        </w:rPr>
        <w:t xml:space="preserve"> </w:t>
      </w:r>
      <w:r w:rsidRPr="00ED4C78">
        <w:rPr>
          <w:rFonts w:ascii="Arial" w:hAnsi="Arial" w:cs="Arial"/>
          <w:sz w:val="20"/>
          <w:szCs w:val="20"/>
        </w:rPr>
        <w:t>FY20)</w:t>
      </w:r>
      <w:r w:rsidRPr="00ED4C78">
        <w:rPr>
          <w:rFonts w:ascii="Arial" w:hAnsi="Arial" w:cs="Arial"/>
          <w:spacing w:val="5"/>
          <w:position w:val="8"/>
          <w:sz w:val="20"/>
          <w:szCs w:val="20"/>
        </w:rPr>
        <w:t xml:space="preserve"> </w:t>
      </w:r>
      <w:r w:rsidRPr="00ED4C78">
        <w:rPr>
          <w:rFonts w:ascii="Arial" w:hAnsi="Arial" w:cs="Arial"/>
          <w:sz w:val="20"/>
          <w:szCs w:val="20"/>
        </w:rPr>
        <w:t>seek</w:t>
      </w:r>
      <w:r w:rsidRPr="00ED4C78">
        <w:rPr>
          <w:rFonts w:ascii="Arial" w:hAnsi="Arial" w:cs="Arial"/>
          <w:spacing w:val="15"/>
          <w:sz w:val="20"/>
          <w:szCs w:val="20"/>
        </w:rPr>
        <w:t xml:space="preserve"> </w:t>
      </w:r>
      <w:r w:rsidRPr="00ED4C78">
        <w:rPr>
          <w:rFonts w:ascii="Arial" w:hAnsi="Arial" w:cs="Arial"/>
          <w:sz w:val="20"/>
          <w:szCs w:val="20"/>
        </w:rPr>
        <w:t>to</w:t>
      </w:r>
      <w:r w:rsidRPr="00ED4C78">
        <w:rPr>
          <w:rFonts w:ascii="Arial" w:hAnsi="Arial" w:cs="Arial"/>
          <w:spacing w:val="17"/>
          <w:sz w:val="20"/>
          <w:szCs w:val="20"/>
        </w:rPr>
        <w:t xml:space="preserve"> </w:t>
      </w:r>
      <w:r w:rsidRPr="00ED4C78">
        <w:rPr>
          <w:rFonts w:ascii="Arial" w:hAnsi="Arial" w:cs="Arial"/>
          <w:sz w:val="20"/>
          <w:szCs w:val="20"/>
        </w:rPr>
        <w:t>enhance</w:t>
      </w:r>
      <w:r w:rsidRPr="00ED4C78">
        <w:rPr>
          <w:rFonts w:ascii="Arial" w:hAnsi="Arial" w:cs="Arial"/>
          <w:spacing w:val="17"/>
          <w:sz w:val="20"/>
          <w:szCs w:val="20"/>
        </w:rPr>
        <w:t xml:space="preserve"> </w:t>
      </w:r>
      <w:r w:rsidRPr="00ED4C78">
        <w:rPr>
          <w:rFonts w:ascii="Arial" w:hAnsi="Arial" w:cs="Arial"/>
          <w:sz w:val="20"/>
          <w:szCs w:val="20"/>
        </w:rPr>
        <w:t>women’s</w:t>
      </w:r>
      <w:r w:rsidRPr="00ED4C78">
        <w:rPr>
          <w:rFonts w:ascii="Arial" w:hAnsi="Arial" w:cs="Arial"/>
          <w:spacing w:val="17"/>
          <w:sz w:val="20"/>
          <w:szCs w:val="20"/>
        </w:rPr>
        <w:t xml:space="preserve"> </w:t>
      </w:r>
      <w:r w:rsidRPr="00ED4C78">
        <w:rPr>
          <w:rFonts w:ascii="Arial" w:hAnsi="Arial" w:cs="Arial"/>
          <w:sz w:val="20"/>
          <w:szCs w:val="20"/>
        </w:rPr>
        <w:t>agency</w:t>
      </w:r>
      <w:r w:rsidRPr="00ED4C78">
        <w:rPr>
          <w:rFonts w:ascii="Arial" w:hAnsi="Arial" w:cs="Arial"/>
          <w:spacing w:val="18"/>
          <w:sz w:val="20"/>
          <w:szCs w:val="20"/>
        </w:rPr>
        <w:t xml:space="preserve"> </w:t>
      </w:r>
      <w:r w:rsidRPr="00ED4C78">
        <w:rPr>
          <w:rFonts w:ascii="Arial" w:hAnsi="Arial" w:cs="Arial"/>
          <w:sz w:val="20"/>
          <w:szCs w:val="20"/>
        </w:rPr>
        <w:t>and</w:t>
      </w:r>
      <w:r w:rsidRPr="00ED4C78">
        <w:rPr>
          <w:rFonts w:ascii="Arial" w:hAnsi="Arial" w:cs="Arial"/>
          <w:spacing w:val="59"/>
          <w:sz w:val="20"/>
          <w:szCs w:val="20"/>
        </w:rPr>
        <w:t xml:space="preserve"> </w:t>
      </w:r>
      <w:r w:rsidRPr="00ED4C78">
        <w:rPr>
          <w:rFonts w:ascii="Arial" w:hAnsi="Arial" w:cs="Arial"/>
          <w:sz w:val="20"/>
          <w:szCs w:val="20"/>
        </w:rPr>
        <w:t>reduce</w:t>
      </w:r>
      <w:r w:rsidRPr="00ED4C78">
        <w:rPr>
          <w:rFonts w:ascii="Arial" w:hAnsi="Arial" w:cs="Arial"/>
          <w:spacing w:val="34"/>
          <w:sz w:val="20"/>
          <w:szCs w:val="20"/>
        </w:rPr>
        <w:t xml:space="preserve"> </w:t>
      </w:r>
      <w:r w:rsidRPr="00ED4C78">
        <w:rPr>
          <w:rFonts w:ascii="Arial" w:hAnsi="Arial" w:cs="Arial"/>
          <w:sz w:val="20"/>
          <w:szCs w:val="20"/>
        </w:rPr>
        <w:t>gender</w:t>
      </w:r>
      <w:r w:rsidRPr="00ED4C78">
        <w:rPr>
          <w:rFonts w:ascii="Arial" w:hAnsi="Arial" w:cs="Arial"/>
          <w:spacing w:val="34"/>
          <w:sz w:val="20"/>
          <w:szCs w:val="20"/>
        </w:rPr>
        <w:t xml:space="preserve"> </w:t>
      </w:r>
      <w:r w:rsidRPr="00ED4C78">
        <w:rPr>
          <w:rFonts w:ascii="Arial" w:hAnsi="Arial" w:cs="Arial"/>
          <w:sz w:val="20"/>
          <w:szCs w:val="20"/>
        </w:rPr>
        <w:t>gaps</w:t>
      </w:r>
      <w:r w:rsidR="00C134A6" w:rsidRPr="00ED4C78">
        <w:rPr>
          <w:rFonts w:ascii="Arial" w:hAnsi="Arial" w:cs="Arial"/>
          <w:sz w:val="20"/>
          <w:szCs w:val="20"/>
        </w:rPr>
        <w:t xml:space="preserve"> in access to essential </w:t>
      </w:r>
      <w:r w:rsidR="00ED4C78" w:rsidRPr="00ED4C78">
        <w:rPr>
          <w:rFonts w:ascii="Arial" w:hAnsi="Arial" w:cs="Arial"/>
          <w:sz w:val="20"/>
          <w:szCs w:val="20"/>
        </w:rPr>
        <w:t>services.</w:t>
      </w:r>
      <w:r w:rsidRPr="00ED4C78">
        <w:rPr>
          <w:rFonts w:ascii="Arial" w:hAnsi="Arial" w:cs="Arial"/>
          <w:spacing w:val="33"/>
          <w:sz w:val="20"/>
          <w:szCs w:val="20"/>
        </w:rPr>
        <w:t xml:space="preserve"> </w:t>
      </w:r>
    </w:p>
    <w:p w14:paraId="5C37C695" w14:textId="58BED782" w:rsidR="0027326F" w:rsidRPr="00ED4C78" w:rsidRDefault="00A5774F" w:rsidP="00FF70B5">
      <w:pPr>
        <w:pStyle w:val="BodyText"/>
        <w:spacing w:after="240"/>
        <w:ind w:right="-46"/>
        <w:rPr>
          <w:rFonts w:ascii="Arial" w:hAnsi="Arial" w:cs="Arial"/>
          <w:sz w:val="20"/>
          <w:szCs w:val="20"/>
        </w:rPr>
      </w:pPr>
      <w:r w:rsidRPr="00ED4C78">
        <w:rPr>
          <w:rFonts w:ascii="Arial" w:hAnsi="Arial" w:cs="Arial"/>
          <w:sz w:val="20"/>
          <w:szCs w:val="20"/>
        </w:rPr>
        <w:t xml:space="preserve">MIMIP </w:t>
      </w:r>
      <w:r w:rsidR="00C134A6" w:rsidRPr="00ED4C78">
        <w:rPr>
          <w:rFonts w:ascii="Arial" w:hAnsi="Arial" w:cs="Arial"/>
          <w:sz w:val="20"/>
          <w:szCs w:val="20"/>
        </w:rPr>
        <w:t xml:space="preserve">directly </w:t>
      </w:r>
      <w:r w:rsidRPr="00ED4C78">
        <w:rPr>
          <w:rFonts w:ascii="Arial" w:hAnsi="Arial" w:cs="Arial"/>
          <w:sz w:val="20"/>
          <w:szCs w:val="20"/>
        </w:rPr>
        <w:t xml:space="preserve">supports women </w:t>
      </w:r>
      <w:r w:rsidR="00C134A6" w:rsidRPr="00ED4C78">
        <w:rPr>
          <w:rFonts w:ascii="Arial" w:hAnsi="Arial" w:cs="Arial"/>
          <w:sz w:val="20"/>
          <w:szCs w:val="20"/>
        </w:rPr>
        <w:t>through</w:t>
      </w:r>
      <w:r w:rsidRPr="00ED4C78">
        <w:rPr>
          <w:rFonts w:ascii="Arial" w:hAnsi="Arial" w:cs="Arial"/>
          <w:sz w:val="20"/>
          <w:szCs w:val="20"/>
        </w:rPr>
        <w:t xml:space="preserve"> two gender-focused </w:t>
      </w:r>
      <w:r w:rsidR="00C134A6" w:rsidRPr="00ED4C78">
        <w:rPr>
          <w:rFonts w:ascii="Arial" w:hAnsi="Arial" w:cs="Arial"/>
          <w:sz w:val="20"/>
          <w:szCs w:val="20"/>
        </w:rPr>
        <w:t>strategies which include:</w:t>
      </w:r>
      <w:r w:rsidRPr="00ED4C78">
        <w:rPr>
          <w:rFonts w:ascii="Arial" w:hAnsi="Arial" w:cs="Arial"/>
          <w:sz w:val="20"/>
          <w:szCs w:val="20"/>
        </w:rPr>
        <w:t xml:space="preserve"> (</w:t>
      </w:r>
      <w:proofErr w:type="spellStart"/>
      <w:r w:rsidRPr="00ED4C78">
        <w:rPr>
          <w:rFonts w:ascii="Arial" w:hAnsi="Arial" w:cs="Arial"/>
          <w:sz w:val="20"/>
          <w:szCs w:val="20"/>
        </w:rPr>
        <w:t>i</w:t>
      </w:r>
      <w:proofErr w:type="spellEnd"/>
      <w:r w:rsidRPr="00ED4C78">
        <w:rPr>
          <w:rFonts w:ascii="Arial" w:hAnsi="Arial" w:cs="Arial"/>
          <w:sz w:val="20"/>
          <w:szCs w:val="20"/>
        </w:rPr>
        <w:t xml:space="preserve">) </w:t>
      </w:r>
      <w:r w:rsidR="00C134A6" w:rsidRPr="00ED4C78">
        <w:rPr>
          <w:rFonts w:ascii="Arial" w:hAnsi="Arial" w:cs="Arial"/>
          <w:sz w:val="20"/>
          <w:szCs w:val="20"/>
        </w:rPr>
        <w:t xml:space="preserve">providing </w:t>
      </w:r>
      <w:r w:rsidRPr="00ED4C78">
        <w:rPr>
          <w:rFonts w:ascii="Arial" w:hAnsi="Arial" w:cs="Arial"/>
          <w:sz w:val="20"/>
          <w:szCs w:val="20"/>
        </w:rPr>
        <w:t xml:space="preserve">employment opportunities for women (Sub-component 3.8); </w:t>
      </w:r>
      <w:r w:rsidR="0040136D" w:rsidRPr="00ED4C78">
        <w:rPr>
          <w:rFonts w:ascii="Arial" w:hAnsi="Arial" w:cs="Arial"/>
          <w:sz w:val="20"/>
          <w:szCs w:val="20"/>
        </w:rPr>
        <w:t>and</w:t>
      </w:r>
      <w:r w:rsidRPr="00ED4C78">
        <w:rPr>
          <w:rFonts w:ascii="Arial" w:hAnsi="Arial" w:cs="Arial"/>
          <w:sz w:val="20"/>
          <w:szCs w:val="20"/>
        </w:rPr>
        <w:t xml:space="preserve"> (ii) </w:t>
      </w:r>
      <w:r w:rsidR="00C134A6" w:rsidRPr="00ED4C78">
        <w:rPr>
          <w:rFonts w:ascii="Arial" w:hAnsi="Arial" w:cs="Arial"/>
          <w:sz w:val="20"/>
          <w:szCs w:val="20"/>
        </w:rPr>
        <w:t xml:space="preserve">strengthening </w:t>
      </w:r>
      <w:r w:rsidRPr="00ED4C78">
        <w:rPr>
          <w:rFonts w:ascii="Arial" w:hAnsi="Arial" w:cs="Arial"/>
          <w:sz w:val="20"/>
          <w:szCs w:val="20"/>
        </w:rPr>
        <w:t xml:space="preserve">GBV and human trafficking prevention and response (Sub-component 2.4(e)). </w:t>
      </w:r>
    </w:p>
    <w:p w14:paraId="74BF16CC" w14:textId="115EF3C1" w:rsidR="00835225" w:rsidRPr="00ED4C78" w:rsidRDefault="00835225" w:rsidP="00FF70B5">
      <w:pPr>
        <w:pStyle w:val="BodyText"/>
        <w:spacing w:after="240"/>
        <w:ind w:right="-46"/>
        <w:rPr>
          <w:rFonts w:ascii="Arial" w:hAnsi="Arial" w:cs="Arial"/>
          <w:sz w:val="20"/>
          <w:szCs w:val="20"/>
        </w:rPr>
      </w:pPr>
      <w:r w:rsidRPr="00ED4C78">
        <w:rPr>
          <w:rFonts w:ascii="Arial" w:hAnsi="Arial" w:cs="Arial"/>
          <w:sz w:val="20"/>
          <w:szCs w:val="20"/>
        </w:rPr>
        <w:t>In</w:t>
      </w:r>
      <w:r w:rsidRPr="00ED4C78">
        <w:rPr>
          <w:rFonts w:ascii="Arial" w:hAnsi="Arial" w:cs="Arial"/>
          <w:spacing w:val="11"/>
          <w:sz w:val="20"/>
          <w:szCs w:val="20"/>
        </w:rPr>
        <w:t xml:space="preserve"> </w:t>
      </w:r>
      <w:r w:rsidRPr="00ED4C78">
        <w:rPr>
          <w:rFonts w:ascii="Arial" w:hAnsi="Arial" w:cs="Arial"/>
          <w:sz w:val="20"/>
          <w:szCs w:val="20"/>
        </w:rPr>
        <w:t>addition,</w:t>
      </w:r>
      <w:r w:rsidRPr="00ED4C78">
        <w:rPr>
          <w:rFonts w:ascii="Arial" w:hAnsi="Arial" w:cs="Arial"/>
          <w:spacing w:val="12"/>
          <w:sz w:val="20"/>
          <w:szCs w:val="20"/>
        </w:rPr>
        <w:t xml:space="preserve"> </w:t>
      </w:r>
      <w:r w:rsidRPr="00ED4C78">
        <w:rPr>
          <w:rFonts w:ascii="Arial" w:hAnsi="Arial" w:cs="Arial"/>
          <w:spacing w:val="-2"/>
          <w:sz w:val="20"/>
          <w:szCs w:val="20"/>
        </w:rPr>
        <w:t>the</w:t>
      </w:r>
      <w:r w:rsidRPr="00ED4C78">
        <w:rPr>
          <w:rFonts w:ascii="Arial" w:hAnsi="Arial" w:cs="Arial"/>
          <w:spacing w:val="15"/>
          <w:sz w:val="20"/>
          <w:szCs w:val="20"/>
        </w:rPr>
        <w:t xml:space="preserve"> </w:t>
      </w:r>
      <w:r w:rsidRPr="00ED4C78">
        <w:rPr>
          <w:rFonts w:ascii="Arial" w:hAnsi="Arial" w:cs="Arial"/>
          <w:sz w:val="20"/>
          <w:szCs w:val="20"/>
        </w:rPr>
        <w:t>project</w:t>
      </w:r>
      <w:r w:rsidRPr="00ED4C78">
        <w:rPr>
          <w:rFonts w:ascii="Arial" w:hAnsi="Arial" w:cs="Arial"/>
          <w:spacing w:val="13"/>
          <w:sz w:val="20"/>
          <w:szCs w:val="20"/>
        </w:rPr>
        <w:t xml:space="preserve"> </w:t>
      </w:r>
      <w:r w:rsidRPr="00ED4C78">
        <w:rPr>
          <w:rFonts w:ascii="Arial" w:hAnsi="Arial" w:cs="Arial"/>
          <w:sz w:val="20"/>
          <w:szCs w:val="20"/>
        </w:rPr>
        <w:t>will</w:t>
      </w:r>
      <w:r w:rsidRPr="00ED4C78">
        <w:rPr>
          <w:rFonts w:ascii="Arial" w:hAnsi="Arial" w:cs="Arial"/>
          <w:spacing w:val="14"/>
          <w:sz w:val="20"/>
          <w:szCs w:val="20"/>
        </w:rPr>
        <w:t xml:space="preserve"> </w:t>
      </w:r>
      <w:r w:rsidRPr="00ED4C78">
        <w:rPr>
          <w:rFonts w:ascii="Arial" w:hAnsi="Arial" w:cs="Arial"/>
          <w:sz w:val="20"/>
          <w:szCs w:val="20"/>
        </w:rPr>
        <w:t>provide</w:t>
      </w:r>
      <w:r w:rsidRPr="00ED4C78">
        <w:rPr>
          <w:rFonts w:ascii="Arial" w:hAnsi="Arial" w:cs="Arial"/>
          <w:spacing w:val="15"/>
          <w:sz w:val="20"/>
          <w:szCs w:val="20"/>
        </w:rPr>
        <w:t xml:space="preserve"> </w:t>
      </w:r>
      <w:r w:rsidRPr="00ED4C78">
        <w:rPr>
          <w:rFonts w:ascii="Arial" w:hAnsi="Arial" w:cs="Arial"/>
          <w:sz w:val="20"/>
          <w:szCs w:val="20"/>
        </w:rPr>
        <w:t>capacity</w:t>
      </w:r>
      <w:r w:rsidRPr="00ED4C78">
        <w:rPr>
          <w:rFonts w:ascii="Arial" w:hAnsi="Arial" w:cs="Arial"/>
          <w:spacing w:val="11"/>
          <w:sz w:val="20"/>
          <w:szCs w:val="20"/>
        </w:rPr>
        <w:t xml:space="preserve"> </w:t>
      </w:r>
      <w:r w:rsidRPr="00ED4C78">
        <w:rPr>
          <w:rFonts w:ascii="Arial" w:hAnsi="Arial" w:cs="Arial"/>
          <w:sz w:val="20"/>
          <w:szCs w:val="20"/>
        </w:rPr>
        <w:t>building</w:t>
      </w:r>
      <w:r w:rsidRPr="00ED4C78">
        <w:rPr>
          <w:rFonts w:ascii="Arial" w:hAnsi="Arial" w:cs="Arial"/>
          <w:spacing w:val="65"/>
          <w:sz w:val="20"/>
          <w:szCs w:val="20"/>
        </w:rPr>
        <w:t xml:space="preserve"> </w:t>
      </w:r>
      <w:r w:rsidRPr="00ED4C78">
        <w:rPr>
          <w:rFonts w:ascii="Arial" w:hAnsi="Arial" w:cs="Arial"/>
          <w:sz w:val="20"/>
          <w:szCs w:val="20"/>
        </w:rPr>
        <w:t>initiatives</w:t>
      </w:r>
      <w:r w:rsidRPr="00ED4C78">
        <w:rPr>
          <w:rFonts w:ascii="Arial" w:hAnsi="Arial" w:cs="Arial"/>
          <w:spacing w:val="46"/>
          <w:sz w:val="20"/>
          <w:szCs w:val="20"/>
        </w:rPr>
        <w:t xml:space="preserve"> </w:t>
      </w:r>
      <w:r w:rsidRPr="00ED4C78">
        <w:rPr>
          <w:rFonts w:ascii="Arial" w:hAnsi="Arial" w:cs="Arial"/>
          <w:sz w:val="20"/>
          <w:szCs w:val="20"/>
        </w:rPr>
        <w:t>to</w:t>
      </w:r>
      <w:r w:rsidRPr="00ED4C78">
        <w:rPr>
          <w:rFonts w:ascii="Arial" w:hAnsi="Arial" w:cs="Arial"/>
          <w:spacing w:val="48"/>
          <w:sz w:val="20"/>
          <w:szCs w:val="20"/>
        </w:rPr>
        <w:t xml:space="preserve"> </w:t>
      </w:r>
      <w:r w:rsidRPr="00ED4C78">
        <w:rPr>
          <w:rFonts w:ascii="Arial" w:hAnsi="Arial" w:cs="Arial"/>
          <w:sz w:val="20"/>
          <w:szCs w:val="20"/>
        </w:rPr>
        <w:t>support</w:t>
      </w:r>
      <w:r w:rsidRPr="00ED4C78">
        <w:rPr>
          <w:rFonts w:ascii="Arial" w:hAnsi="Arial" w:cs="Arial"/>
          <w:spacing w:val="45"/>
          <w:sz w:val="20"/>
          <w:szCs w:val="20"/>
        </w:rPr>
        <w:t xml:space="preserve"> </w:t>
      </w:r>
      <w:r w:rsidRPr="00ED4C78">
        <w:rPr>
          <w:rFonts w:ascii="Arial" w:hAnsi="Arial" w:cs="Arial"/>
          <w:sz w:val="20"/>
          <w:szCs w:val="20"/>
        </w:rPr>
        <w:t>the</w:t>
      </w:r>
      <w:r w:rsidRPr="00ED4C78">
        <w:rPr>
          <w:rFonts w:ascii="Arial" w:hAnsi="Arial" w:cs="Arial"/>
          <w:spacing w:val="46"/>
          <w:sz w:val="20"/>
          <w:szCs w:val="20"/>
        </w:rPr>
        <w:t xml:space="preserve"> </w:t>
      </w:r>
      <w:r w:rsidRPr="00ED4C78">
        <w:rPr>
          <w:rFonts w:ascii="Arial" w:hAnsi="Arial" w:cs="Arial"/>
          <w:sz w:val="20"/>
          <w:szCs w:val="20"/>
        </w:rPr>
        <w:t>maritime</w:t>
      </w:r>
      <w:r w:rsidRPr="00ED4C78">
        <w:rPr>
          <w:rFonts w:ascii="Arial" w:hAnsi="Arial" w:cs="Arial"/>
          <w:spacing w:val="47"/>
          <w:sz w:val="20"/>
          <w:szCs w:val="20"/>
        </w:rPr>
        <w:t xml:space="preserve"> </w:t>
      </w:r>
      <w:r w:rsidRPr="00ED4C78">
        <w:rPr>
          <w:rFonts w:ascii="Arial" w:hAnsi="Arial" w:cs="Arial"/>
          <w:sz w:val="20"/>
          <w:szCs w:val="20"/>
        </w:rPr>
        <w:t>sector</w:t>
      </w:r>
      <w:r w:rsidRPr="00ED4C78">
        <w:rPr>
          <w:rFonts w:ascii="Arial" w:hAnsi="Arial" w:cs="Arial"/>
          <w:spacing w:val="47"/>
          <w:sz w:val="20"/>
          <w:szCs w:val="20"/>
        </w:rPr>
        <w:t xml:space="preserve"> </w:t>
      </w:r>
      <w:r w:rsidRPr="00ED4C78">
        <w:rPr>
          <w:rFonts w:ascii="Arial" w:hAnsi="Arial" w:cs="Arial"/>
          <w:sz w:val="20"/>
          <w:szCs w:val="20"/>
        </w:rPr>
        <w:t>(Sub-component</w:t>
      </w:r>
      <w:r w:rsidRPr="00ED4C78">
        <w:rPr>
          <w:rFonts w:ascii="Arial" w:hAnsi="Arial" w:cs="Arial"/>
          <w:spacing w:val="47"/>
          <w:sz w:val="20"/>
          <w:szCs w:val="20"/>
        </w:rPr>
        <w:t xml:space="preserve"> </w:t>
      </w:r>
      <w:r w:rsidRPr="00ED4C78">
        <w:rPr>
          <w:rFonts w:ascii="Arial" w:hAnsi="Arial" w:cs="Arial"/>
          <w:sz w:val="20"/>
          <w:szCs w:val="20"/>
        </w:rPr>
        <w:t>3.5)</w:t>
      </w:r>
      <w:r w:rsidRPr="00ED4C78">
        <w:rPr>
          <w:rFonts w:ascii="Arial" w:hAnsi="Arial" w:cs="Arial"/>
          <w:spacing w:val="46"/>
          <w:sz w:val="20"/>
          <w:szCs w:val="20"/>
        </w:rPr>
        <w:t xml:space="preserve"> </w:t>
      </w:r>
      <w:r w:rsidRPr="00ED4C78">
        <w:rPr>
          <w:rFonts w:ascii="Arial" w:hAnsi="Arial" w:cs="Arial"/>
          <w:sz w:val="20"/>
          <w:szCs w:val="20"/>
        </w:rPr>
        <w:t>and</w:t>
      </w:r>
      <w:r w:rsidRPr="00ED4C78">
        <w:rPr>
          <w:rFonts w:ascii="Arial" w:hAnsi="Arial" w:cs="Arial"/>
          <w:spacing w:val="46"/>
          <w:sz w:val="20"/>
          <w:szCs w:val="20"/>
        </w:rPr>
        <w:t xml:space="preserve"> </w:t>
      </w:r>
      <w:r w:rsidRPr="00ED4C78">
        <w:rPr>
          <w:rFonts w:ascii="Arial" w:hAnsi="Arial" w:cs="Arial"/>
          <w:sz w:val="20"/>
          <w:szCs w:val="20"/>
        </w:rPr>
        <w:t>will</w:t>
      </w:r>
      <w:r w:rsidRPr="00ED4C78">
        <w:rPr>
          <w:rFonts w:ascii="Arial" w:hAnsi="Arial" w:cs="Arial"/>
          <w:spacing w:val="49"/>
          <w:sz w:val="20"/>
          <w:szCs w:val="20"/>
        </w:rPr>
        <w:t xml:space="preserve"> </w:t>
      </w:r>
      <w:r w:rsidRPr="00ED4C78">
        <w:rPr>
          <w:rFonts w:ascii="Arial" w:hAnsi="Arial" w:cs="Arial"/>
          <w:sz w:val="20"/>
          <w:szCs w:val="20"/>
        </w:rPr>
        <w:t>support</w:t>
      </w:r>
      <w:r w:rsidRPr="00ED4C78">
        <w:rPr>
          <w:rFonts w:ascii="Arial" w:hAnsi="Arial" w:cs="Arial"/>
          <w:spacing w:val="46"/>
          <w:sz w:val="20"/>
          <w:szCs w:val="20"/>
        </w:rPr>
        <w:t xml:space="preserve"> </w:t>
      </w:r>
      <w:r w:rsidRPr="00ED4C78">
        <w:rPr>
          <w:rFonts w:ascii="Arial" w:hAnsi="Arial" w:cs="Arial"/>
          <w:spacing w:val="-2"/>
          <w:sz w:val="20"/>
          <w:szCs w:val="20"/>
        </w:rPr>
        <w:t>the</w:t>
      </w:r>
      <w:r w:rsidRPr="00ED4C78">
        <w:rPr>
          <w:rFonts w:ascii="Arial" w:hAnsi="Arial" w:cs="Arial"/>
          <w:sz w:val="20"/>
          <w:szCs w:val="20"/>
        </w:rPr>
        <w:t xml:space="preserve">  development  and</w:t>
      </w:r>
      <w:r w:rsidRPr="00ED4C78">
        <w:rPr>
          <w:rFonts w:ascii="Arial" w:hAnsi="Arial" w:cs="Arial"/>
          <w:spacing w:val="67"/>
          <w:sz w:val="20"/>
          <w:szCs w:val="20"/>
        </w:rPr>
        <w:t xml:space="preserve"> </w:t>
      </w:r>
      <w:r w:rsidRPr="00ED4C78">
        <w:rPr>
          <w:rFonts w:ascii="Arial" w:hAnsi="Arial" w:cs="Arial"/>
          <w:sz w:val="20"/>
          <w:szCs w:val="20"/>
        </w:rPr>
        <w:t>operationalization</w:t>
      </w:r>
      <w:r w:rsidRPr="00ED4C78">
        <w:rPr>
          <w:rFonts w:ascii="Arial" w:hAnsi="Arial" w:cs="Arial"/>
          <w:spacing w:val="-3"/>
          <w:sz w:val="20"/>
          <w:szCs w:val="20"/>
        </w:rPr>
        <w:t xml:space="preserve"> </w:t>
      </w:r>
      <w:r w:rsidRPr="00ED4C78">
        <w:rPr>
          <w:rFonts w:ascii="Arial" w:hAnsi="Arial" w:cs="Arial"/>
          <w:sz w:val="20"/>
          <w:szCs w:val="20"/>
        </w:rPr>
        <w:t>of</w:t>
      </w:r>
      <w:r w:rsidRPr="00ED4C78">
        <w:rPr>
          <w:rFonts w:ascii="Arial" w:hAnsi="Arial" w:cs="Arial"/>
          <w:spacing w:val="-3"/>
          <w:sz w:val="20"/>
          <w:szCs w:val="20"/>
        </w:rPr>
        <w:t xml:space="preserve"> </w:t>
      </w:r>
      <w:r w:rsidRPr="00ED4C78">
        <w:rPr>
          <w:rFonts w:ascii="Arial" w:hAnsi="Arial" w:cs="Arial"/>
          <w:sz w:val="20"/>
          <w:szCs w:val="20"/>
        </w:rPr>
        <w:t>the</w:t>
      </w:r>
      <w:r w:rsidRPr="00ED4C78">
        <w:rPr>
          <w:rFonts w:ascii="Arial" w:hAnsi="Arial" w:cs="Arial"/>
          <w:spacing w:val="-2"/>
          <w:sz w:val="20"/>
          <w:szCs w:val="20"/>
        </w:rPr>
        <w:t xml:space="preserve"> CIU </w:t>
      </w:r>
      <w:r w:rsidRPr="00ED4C78">
        <w:rPr>
          <w:rFonts w:ascii="Arial" w:hAnsi="Arial" w:cs="Arial"/>
          <w:sz w:val="20"/>
          <w:szCs w:val="20"/>
        </w:rPr>
        <w:t>(Sub-component</w:t>
      </w:r>
      <w:r w:rsidRPr="00ED4C78">
        <w:rPr>
          <w:rFonts w:ascii="Arial" w:hAnsi="Arial" w:cs="Arial"/>
          <w:spacing w:val="-4"/>
          <w:sz w:val="20"/>
          <w:szCs w:val="20"/>
        </w:rPr>
        <w:t xml:space="preserve"> </w:t>
      </w:r>
      <w:r w:rsidRPr="00ED4C78">
        <w:rPr>
          <w:rFonts w:ascii="Arial" w:hAnsi="Arial" w:cs="Arial"/>
          <w:sz w:val="20"/>
          <w:szCs w:val="20"/>
        </w:rPr>
        <w:t>3.7).</w:t>
      </w:r>
      <w:r w:rsidRPr="00ED4C78">
        <w:rPr>
          <w:rFonts w:ascii="Arial" w:hAnsi="Arial" w:cs="Arial"/>
          <w:spacing w:val="-3"/>
          <w:sz w:val="20"/>
          <w:szCs w:val="20"/>
        </w:rPr>
        <w:t xml:space="preserve"> </w:t>
      </w:r>
      <w:r w:rsidRPr="00ED4C78">
        <w:rPr>
          <w:rFonts w:ascii="Arial" w:hAnsi="Arial" w:cs="Arial"/>
          <w:sz w:val="20"/>
          <w:szCs w:val="20"/>
        </w:rPr>
        <w:t>Table</w:t>
      </w:r>
      <w:r w:rsidRPr="00ED4C78">
        <w:rPr>
          <w:rFonts w:ascii="Arial" w:hAnsi="Arial" w:cs="Arial"/>
          <w:spacing w:val="-2"/>
          <w:sz w:val="20"/>
          <w:szCs w:val="20"/>
        </w:rPr>
        <w:t xml:space="preserve"> </w:t>
      </w:r>
      <w:r w:rsidRPr="00ED4C78">
        <w:rPr>
          <w:rFonts w:ascii="Arial" w:hAnsi="Arial" w:cs="Arial"/>
          <w:sz w:val="20"/>
          <w:szCs w:val="20"/>
        </w:rPr>
        <w:t>3 provides</w:t>
      </w:r>
      <w:r w:rsidRPr="00ED4C78">
        <w:rPr>
          <w:rFonts w:ascii="Arial" w:hAnsi="Arial" w:cs="Arial"/>
          <w:spacing w:val="-2"/>
          <w:sz w:val="20"/>
          <w:szCs w:val="20"/>
        </w:rPr>
        <w:t xml:space="preserve"> </w:t>
      </w:r>
      <w:r w:rsidRPr="00ED4C78">
        <w:rPr>
          <w:rFonts w:ascii="Arial" w:hAnsi="Arial" w:cs="Arial"/>
          <w:sz w:val="20"/>
          <w:szCs w:val="20"/>
        </w:rPr>
        <w:t>an</w:t>
      </w:r>
      <w:r w:rsidRPr="00ED4C78">
        <w:rPr>
          <w:rFonts w:ascii="Arial" w:hAnsi="Arial" w:cs="Arial"/>
          <w:spacing w:val="-3"/>
          <w:sz w:val="20"/>
          <w:szCs w:val="20"/>
        </w:rPr>
        <w:t xml:space="preserve"> </w:t>
      </w:r>
      <w:r w:rsidRPr="00ED4C78">
        <w:rPr>
          <w:rFonts w:ascii="Arial" w:hAnsi="Arial" w:cs="Arial"/>
          <w:sz w:val="20"/>
          <w:szCs w:val="20"/>
        </w:rPr>
        <w:t>estimate</w:t>
      </w:r>
      <w:r w:rsidRPr="00ED4C78">
        <w:rPr>
          <w:rFonts w:ascii="Arial" w:hAnsi="Arial" w:cs="Arial"/>
          <w:spacing w:val="-4"/>
          <w:sz w:val="20"/>
          <w:szCs w:val="20"/>
        </w:rPr>
        <w:t xml:space="preserve"> </w:t>
      </w:r>
      <w:r w:rsidRPr="00ED4C78">
        <w:rPr>
          <w:rFonts w:ascii="Arial" w:hAnsi="Arial" w:cs="Arial"/>
          <w:sz w:val="20"/>
          <w:szCs w:val="20"/>
        </w:rPr>
        <w:t>number</w:t>
      </w:r>
      <w:r w:rsidRPr="00ED4C78">
        <w:rPr>
          <w:rFonts w:ascii="Arial" w:hAnsi="Arial" w:cs="Arial"/>
          <w:spacing w:val="-2"/>
          <w:sz w:val="20"/>
          <w:szCs w:val="20"/>
        </w:rPr>
        <w:t xml:space="preserve"> </w:t>
      </w:r>
      <w:r w:rsidRPr="00ED4C78">
        <w:rPr>
          <w:rFonts w:ascii="Arial" w:hAnsi="Arial" w:cs="Arial"/>
          <w:sz w:val="20"/>
          <w:szCs w:val="20"/>
        </w:rPr>
        <w:t>of</w:t>
      </w:r>
      <w:r w:rsidRPr="00ED4C78">
        <w:rPr>
          <w:rFonts w:ascii="Arial" w:hAnsi="Arial" w:cs="Arial"/>
          <w:spacing w:val="-3"/>
          <w:sz w:val="20"/>
          <w:szCs w:val="20"/>
        </w:rPr>
        <w:t xml:space="preserve"> </w:t>
      </w:r>
      <w:r w:rsidRPr="00ED4C78">
        <w:rPr>
          <w:rFonts w:ascii="Arial" w:hAnsi="Arial" w:cs="Arial"/>
          <w:sz w:val="20"/>
          <w:szCs w:val="20"/>
        </w:rPr>
        <w:t>beneficiaries</w:t>
      </w:r>
      <w:r w:rsidRPr="00ED4C78">
        <w:rPr>
          <w:rFonts w:ascii="Arial" w:hAnsi="Arial" w:cs="Arial"/>
          <w:spacing w:val="-2"/>
          <w:sz w:val="20"/>
          <w:szCs w:val="20"/>
        </w:rPr>
        <w:t xml:space="preserve"> </w:t>
      </w:r>
      <w:r w:rsidRPr="00ED4C78">
        <w:rPr>
          <w:rFonts w:ascii="Arial" w:hAnsi="Arial" w:cs="Arial"/>
          <w:sz w:val="20"/>
          <w:szCs w:val="20"/>
        </w:rPr>
        <w:t>associated</w:t>
      </w:r>
      <w:r w:rsidRPr="00ED4C78">
        <w:rPr>
          <w:rFonts w:ascii="Arial" w:hAnsi="Arial" w:cs="Arial"/>
          <w:spacing w:val="71"/>
          <w:sz w:val="20"/>
          <w:szCs w:val="20"/>
        </w:rPr>
        <w:t xml:space="preserve"> </w:t>
      </w:r>
      <w:r w:rsidRPr="00ED4C78">
        <w:rPr>
          <w:rFonts w:ascii="Arial" w:hAnsi="Arial" w:cs="Arial"/>
          <w:sz w:val="20"/>
          <w:szCs w:val="20"/>
        </w:rPr>
        <w:t xml:space="preserve">with </w:t>
      </w:r>
      <w:r w:rsidRPr="00ED4C78">
        <w:rPr>
          <w:rFonts w:ascii="Arial" w:hAnsi="Arial" w:cs="Arial"/>
          <w:spacing w:val="-2"/>
          <w:sz w:val="20"/>
          <w:szCs w:val="20"/>
        </w:rPr>
        <w:t>MIMIP</w:t>
      </w:r>
      <w:r w:rsidRPr="00ED4C78">
        <w:rPr>
          <w:rFonts w:ascii="Arial" w:hAnsi="Arial" w:cs="Arial"/>
          <w:spacing w:val="1"/>
          <w:sz w:val="20"/>
          <w:szCs w:val="20"/>
        </w:rPr>
        <w:t xml:space="preserve"> </w:t>
      </w:r>
      <w:r w:rsidRPr="00ED4C78">
        <w:rPr>
          <w:rFonts w:ascii="Arial" w:hAnsi="Arial" w:cs="Arial"/>
          <w:sz w:val="20"/>
          <w:szCs w:val="20"/>
        </w:rPr>
        <w:t>activities,</w:t>
      </w:r>
      <w:r w:rsidRPr="00ED4C78">
        <w:rPr>
          <w:rFonts w:ascii="Arial" w:hAnsi="Arial" w:cs="Arial"/>
          <w:spacing w:val="-2"/>
          <w:sz w:val="20"/>
          <w:szCs w:val="20"/>
        </w:rPr>
        <w:t xml:space="preserve"> </w:t>
      </w:r>
      <w:r w:rsidRPr="00ED4C78">
        <w:rPr>
          <w:rFonts w:ascii="Arial" w:hAnsi="Arial" w:cs="Arial"/>
          <w:sz w:val="20"/>
          <w:szCs w:val="20"/>
        </w:rPr>
        <w:t>which covers</w:t>
      </w:r>
      <w:r w:rsidRPr="00ED4C78">
        <w:rPr>
          <w:rFonts w:ascii="Arial" w:hAnsi="Arial" w:cs="Arial"/>
          <w:spacing w:val="-2"/>
          <w:sz w:val="20"/>
          <w:szCs w:val="20"/>
        </w:rPr>
        <w:t xml:space="preserve"> </w:t>
      </w:r>
      <w:r w:rsidRPr="00ED4C78">
        <w:rPr>
          <w:rFonts w:ascii="Arial" w:hAnsi="Arial" w:cs="Arial"/>
          <w:sz w:val="20"/>
          <w:szCs w:val="20"/>
        </w:rPr>
        <w:t>the</w:t>
      </w:r>
      <w:r w:rsidRPr="00ED4C78">
        <w:rPr>
          <w:rFonts w:ascii="Arial" w:hAnsi="Arial" w:cs="Arial"/>
          <w:spacing w:val="-2"/>
          <w:sz w:val="20"/>
          <w:szCs w:val="20"/>
        </w:rPr>
        <w:t xml:space="preserve"> </w:t>
      </w:r>
      <w:r w:rsidRPr="00ED4C78">
        <w:rPr>
          <w:rFonts w:ascii="Arial" w:hAnsi="Arial" w:cs="Arial"/>
          <w:sz w:val="20"/>
          <w:szCs w:val="20"/>
        </w:rPr>
        <w:t>total population of</w:t>
      </w:r>
      <w:r w:rsidRPr="00ED4C78">
        <w:rPr>
          <w:rFonts w:ascii="Arial" w:hAnsi="Arial" w:cs="Arial"/>
          <w:spacing w:val="-2"/>
          <w:sz w:val="20"/>
          <w:szCs w:val="20"/>
        </w:rPr>
        <w:t xml:space="preserve"> RMI.</w:t>
      </w:r>
    </w:p>
    <w:p w14:paraId="2FCEFE82" w14:textId="5D106920" w:rsidR="00835225" w:rsidRPr="00ED4C78" w:rsidRDefault="00835225" w:rsidP="00FF70B5">
      <w:pPr>
        <w:ind w:right="-46"/>
        <w:rPr>
          <w:rFonts w:ascii="Arial" w:hAnsi="Arial" w:cs="Arial"/>
          <w:sz w:val="20"/>
          <w:szCs w:val="20"/>
          <w:lang w:val="en-US" w:eastAsia="en-MY"/>
        </w:rPr>
      </w:pPr>
      <w:r w:rsidRPr="00ED4C78">
        <w:rPr>
          <w:rFonts w:ascii="Arial" w:hAnsi="Arial" w:cs="Arial"/>
          <w:sz w:val="20"/>
          <w:szCs w:val="20"/>
          <w:lang w:val="en-US" w:eastAsia="en-MY"/>
        </w:rPr>
        <w:t xml:space="preserve">Principal beneficiaries comprise the entire population of RMI, particularly those residents of </w:t>
      </w:r>
      <w:r w:rsidR="001A460F" w:rsidRPr="00ED4C78">
        <w:rPr>
          <w:rFonts w:ascii="Arial" w:hAnsi="Arial" w:cs="Arial"/>
          <w:sz w:val="20"/>
          <w:szCs w:val="20"/>
          <w:lang w:val="en-US" w:eastAsia="en-MY"/>
        </w:rPr>
        <w:t>Majuro</w:t>
      </w:r>
      <w:r w:rsidRPr="00ED4C78">
        <w:rPr>
          <w:rFonts w:ascii="Arial" w:hAnsi="Arial" w:cs="Arial"/>
          <w:sz w:val="20"/>
          <w:szCs w:val="20"/>
          <w:lang w:val="en-US" w:eastAsia="en-MY"/>
        </w:rPr>
        <w:t>, Ebeye, Arno, Jaluit and Wotje.</w:t>
      </w:r>
    </w:p>
    <w:p w14:paraId="7EDD7D56" w14:textId="77777777" w:rsidR="00835225" w:rsidRPr="00773D30" w:rsidRDefault="00835225" w:rsidP="00ED4C78">
      <w:pPr>
        <w:rPr>
          <w:lang w:val="en-US" w:eastAsia="en-MY"/>
        </w:rPr>
      </w:pPr>
    </w:p>
    <w:p w14:paraId="3DDD650C" w14:textId="77777777" w:rsidR="00A323BC" w:rsidRPr="00F24700" w:rsidRDefault="00A323BC" w:rsidP="00ED4C78"/>
    <w:p w14:paraId="3C49CC72" w14:textId="77777777" w:rsidR="0033022C" w:rsidRPr="005F5C71" w:rsidRDefault="0033022C" w:rsidP="0033022C">
      <w:pPr>
        <w:rPr>
          <w:rFonts w:eastAsia="Calibri" w:cs="Times New Roman"/>
          <w:b/>
          <w:highlight w:val="yellow"/>
          <w:lang w:val="en-US"/>
        </w:rPr>
        <w:sectPr w:rsidR="0033022C" w:rsidRPr="005F5C71" w:rsidSect="00B37999">
          <w:headerReference w:type="default" r:id="rId13"/>
          <w:footerReference w:type="default" r:id="rId14"/>
          <w:pgSz w:w="11906" w:h="16838" w:code="9"/>
          <w:pgMar w:top="1440" w:right="1440" w:bottom="1440" w:left="1440" w:header="709" w:footer="709" w:gutter="0"/>
          <w:cols w:space="708"/>
          <w:docGrid w:linePitch="360"/>
        </w:sectPr>
      </w:pPr>
    </w:p>
    <w:p w14:paraId="249E4916" w14:textId="1178F25C" w:rsidR="007F6069" w:rsidRPr="002E1758" w:rsidRDefault="00C3173E" w:rsidP="00FF70B5">
      <w:pPr>
        <w:pStyle w:val="Heading1"/>
        <w:numPr>
          <w:ilvl w:val="0"/>
          <w:numId w:val="0"/>
        </w:numPr>
      </w:pPr>
      <w:bookmarkStart w:id="26" w:name="_Toc533615255"/>
      <w:bookmarkStart w:id="27" w:name="_Toc98072630"/>
      <w:r w:rsidRPr="005F5C71">
        <w:lastRenderedPageBreak/>
        <w:t xml:space="preserve">Annex </w:t>
      </w:r>
      <w:r w:rsidR="0093512F">
        <w:t>A</w:t>
      </w:r>
      <w:r w:rsidRPr="005F5C71">
        <w:t>. Stakeholder Engagement Action Plan</w:t>
      </w:r>
      <w:bookmarkEnd w:id="26"/>
      <w:bookmarkEnd w:id="27"/>
      <w:r w:rsidRPr="005F5C71">
        <w:t xml:space="preserve"> </w:t>
      </w:r>
    </w:p>
    <w:tbl>
      <w:tblPr>
        <w:tblStyle w:val="TableGrid"/>
        <w:tblW w:w="14176" w:type="dxa"/>
        <w:tblInd w:w="-289" w:type="dxa"/>
        <w:tblLook w:val="04A0" w:firstRow="1" w:lastRow="0" w:firstColumn="1" w:lastColumn="0" w:noHBand="0" w:noVBand="1"/>
      </w:tblPr>
      <w:tblGrid>
        <w:gridCol w:w="385"/>
        <w:gridCol w:w="1885"/>
        <w:gridCol w:w="1565"/>
        <w:gridCol w:w="1931"/>
        <w:gridCol w:w="1732"/>
        <w:gridCol w:w="1279"/>
        <w:gridCol w:w="1893"/>
        <w:gridCol w:w="2163"/>
        <w:gridCol w:w="1343"/>
      </w:tblGrid>
      <w:tr w:rsidR="002042A5" w:rsidRPr="005F5C71" w14:paraId="717C8B90" w14:textId="77777777" w:rsidTr="00DD3A1A">
        <w:trPr>
          <w:tblHeader/>
        </w:trPr>
        <w:tc>
          <w:tcPr>
            <w:tcW w:w="385" w:type="dxa"/>
            <w:shd w:val="clear" w:color="auto" w:fill="D9E2F3" w:themeFill="accent5" w:themeFillTint="33"/>
          </w:tcPr>
          <w:p w14:paraId="5477A7D3" w14:textId="77777777" w:rsidR="0057631F" w:rsidRDefault="0057631F" w:rsidP="0033022C">
            <w:pPr>
              <w:rPr>
                <w:rFonts w:eastAsia="Calibri" w:cs="Times New Roman"/>
                <w:b/>
              </w:rPr>
            </w:pPr>
          </w:p>
        </w:tc>
        <w:tc>
          <w:tcPr>
            <w:tcW w:w="1885" w:type="dxa"/>
            <w:shd w:val="clear" w:color="auto" w:fill="D9E2F3" w:themeFill="accent5" w:themeFillTint="33"/>
          </w:tcPr>
          <w:p w14:paraId="217DFD6E" w14:textId="53147FCC" w:rsidR="0057631F" w:rsidRPr="005F5C71" w:rsidRDefault="0057631F" w:rsidP="0033022C">
            <w:pPr>
              <w:rPr>
                <w:rFonts w:eastAsia="Calibri" w:cs="Times New Roman"/>
                <w:b/>
              </w:rPr>
            </w:pPr>
            <w:r>
              <w:rPr>
                <w:rFonts w:eastAsia="Calibri" w:cs="Times New Roman"/>
                <w:b/>
              </w:rPr>
              <w:t>MMIP Activity</w:t>
            </w:r>
          </w:p>
        </w:tc>
        <w:tc>
          <w:tcPr>
            <w:tcW w:w="1565" w:type="dxa"/>
            <w:shd w:val="clear" w:color="auto" w:fill="D9E2F3" w:themeFill="accent5" w:themeFillTint="33"/>
          </w:tcPr>
          <w:p w14:paraId="6B1A7880" w14:textId="599DDADF" w:rsidR="00C178A3" w:rsidRPr="005F5C71" w:rsidRDefault="0057631F" w:rsidP="001120D4">
            <w:pPr>
              <w:rPr>
                <w:rFonts w:eastAsia="Calibri" w:cs="Times New Roman"/>
                <w:b/>
              </w:rPr>
            </w:pPr>
            <w:r w:rsidRPr="005F5C71">
              <w:rPr>
                <w:rFonts w:eastAsia="Calibri" w:cs="Times New Roman"/>
                <w:b/>
              </w:rPr>
              <w:t>Objective</w:t>
            </w:r>
            <w:r w:rsidR="00C178A3">
              <w:rPr>
                <w:rFonts w:eastAsia="Calibri" w:cs="Times New Roman"/>
                <w:b/>
              </w:rPr>
              <w:t>.</w:t>
            </w:r>
          </w:p>
        </w:tc>
        <w:tc>
          <w:tcPr>
            <w:tcW w:w="1931" w:type="dxa"/>
            <w:shd w:val="clear" w:color="auto" w:fill="D9E2F3" w:themeFill="accent5" w:themeFillTint="33"/>
          </w:tcPr>
          <w:p w14:paraId="718DB29E" w14:textId="42F78951" w:rsidR="00C178A3" w:rsidRPr="005F5C71" w:rsidRDefault="0057631F" w:rsidP="001120D4">
            <w:pPr>
              <w:rPr>
                <w:rFonts w:eastAsia="Calibri" w:cs="Times New Roman"/>
                <w:b/>
              </w:rPr>
            </w:pPr>
            <w:r w:rsidRPr="005F5C71">
              <w:rPr>
                <w:rFonts w:eastAsia="Calibri" w:cs="Times New Roman"/>
                <w:b/>
              </w:rPr>
              <w:t>Method</w:t>
            </w:r>
          </w:p>
        </w:tc>
        <w:tc>
          <w:tcPr>
            <w:tcW w:w="1732" w:type="dxa"/>
            <w:shd w:val="clear" w:color="auto" w:fill="D9E2F3" w:themeFill="accent5" w:themeFillTint="33"/>
          </w:tcPr>
          <w:p w14:paraId="640A5BCB" w14:textId="77777777" w:rsidR="0057631F" w:rsidRPr="005F5C71" w:rsidRDefault="0057631F" w:rsidP="0033022C">
            <w:pPr>
              <w:rPr>
                <w:rFonts w:eastAsia="Calibri" w:cs="Times New Roman"/>
                <w:b/>
              </w:rPr>
            </w:pPr>
            <w:r w:rsidRPr="005F5C71">
              <w:rPr>
                <w:rFonts w:eastAsia="Calibri" w:cs="Times New Roman"/>
                <w:b/>
              </w:rPr>
              <w:t xml:space="preserve">Frequency </w:t>
            </w:r>
          </w:p>
        </w:tc>
        <w:tc>
          <w:tcPr>
            <w:tcW w:w="1279" w:type="dxa"/>
            <w:shd w:val="clear" w:color="auto" w:fill="D9E2F3" w:themeFill="accent5" w:themeFillTint="33"/>
          </w:tcPr>
          <w:p w14:paraId="7C707972" w14:textId="77777777" w:rsidR="0057631F" w:rsidRPr="005F5C71" w:rsidRDefault="0057631F" w:rsidP="0033022C">
            <w:pPr>
              <w:rPr>
                <w:rFonts w:eastAsia="Calibri" w:cs="Times New Roman"/>
                <w:b/>
              </w:rPr>
            </w:pPr>
            <w:r w:rsidRPr="005F5C71">
              <w:rPr>
                <w:rFonts w:eastAsia="Calibri" w:cs="Times New Roman"/>
                <w:b/>
              </w:rPr>
              <w:t>Timelines</w:t>
            </w:r>
          </w:p>
        </w:tc>
        <w:tc>
          <w:tcPr>
            <w:tcW w:w="1893" w:type="dxa"/>
            <w:shd w:val="clear" w:color="auto" w:fill="D9E2F3" w:themeFill="accent5" w:themeFillTint="33"/>
          </w:tcPr>
          <w:p w14:paraId="01F0108A" w14:textId="77777777" w:rsidR="0057631F" w:rsidRPr="005F5C71" w:rsidRDefault="0057631F" w:rsidP="0033022C">
            <w:pPr>
              <w:rPr>
                <w:rFonts w:eastAsia="Calibri" w:cs="Times New Roman"/>
                <w:b/>
              </w:rPr>
            </w:pPr>
            <w:r w:rsidRPr="005F5C71">
              <w:rPr>
                <w:rFonts w:eastAsia="Calibri" w:cs="Times New Roman"/>
                <w:b/>
              </w:rPr>
              <w:t xml:space="preserve">Responsibility </w:t>
            </w:r>
          </w:p>
        </w:tc>
        <w:tc>
          <w:tcPr>
            <w:tcW w:w="2163" w:type="dxa"/>
            <w:shd w:val="clear" w:color="auto" w:fill="D9E2F3" w:themeFill="accent5" w:themeFillTint="33"/>
          </w:tcPr>
          <w:p w14:paraId="71B73700" w14:textId="3F584527" w:rsidR="0057631F" w:rsidRPr="005F5C71" w:rsidRDefault="0057631F" w:rsidP="0033022C">
            <w:pPr>
              <w:rPr>
                <w:rFonts w:eastAsia="Calibri" w:cs="Times New Roman"/>
                <w:b/>
              </w:rPr>
            </w:pPr>
            <w:r w:rsidRPr="005F5C71">
              <w:rPr>
                <w:rFonts w:eastAsia="Calibri" w:cs="Times New Roman"/>
                <w:b/>
              </w:rPr>
              <w:t>Target group</w:t>
            </w:r>
            <w:r w:rsidR="00AF7D0D">
              <w:rPr>
                <w:rFonts w:eastAsia="Calibri" w:cs="Times New Roman"/>
                <w:b/>
              </w:rPr>
              <w:t>s</w:t>
            </w:r>
            <w:r w:rsidRPr="005F5C71">
              <w:rPr>
                <w:rFonts w:eastAsia="Calibri" w:cs="Times New Roman"/>
                <w:b/>
              </w:rPr>
              <w:t xml:space="preserve"> </w:t>
            </w:r>
          </w:p>
        </w:tc>
        <w:tc>
          <w:tcPr>
            <w:tcW w:w="1343" w:type="dxa"/>
            <w:shd w:val="clear" w:color="auto" w:fill="D9E2F3" w:themeFill="accent5" w:themeFillTint="33"/>
          </w:tcPr>
          <w:p w14:paraId="1CC5F609" w14:textId="77777777" w:rsidR="0057631F" w:rsidRPr="005F5C71" w:rsidRDefault="0057631F" w:rsidP="0033022C">
            <w:pPr>
              <w:rPr>
                <w:rFonts w:eastAsia="Calibri" w:cs="Times New Roman"/>
                <w:b/>
              </w:rPr>
            </w:pPr>
            <w:r w:rsidRPr="005F5C71">
              <w:rPr>
                <w:rFonts w:eastAsia="Calibri" w:cs="Times New Roman"/>
                <w:b/>
              </w:rPr>
              <w:t>Completed, recorded?</w:t>
            </w:r>
          </w:p>
        </w:tc>
      </w:tr>
      <w:tr w:rsidR="00C12906" w:rsidRPr="005F5C71" w14:paraId="424DC8D4" w14:textId="77777777" w:rsidTr="00DD3A1A">
        <w:trPr>
          <w:trHeight w:val="346"/>
        </w:trPr>
        <w:tc>
          <w:tcPr>
            <w:tcW w:w="385" w:type="dxa"/>
          </w:tcPr>
          <w:p w14:paraId="3293E1CB" w14:textId="77777777" w:rsidR="0057631F" w:rsidRPr="005F5C71" w:rsidRDefault="0057631F" w:rsidP="0033022C">
            <w:pPr>
              <w:rPr>
                <w:rFonts w:eastAsia="Calibri" w:cs="Times New Roman"/>
                <w:b/>
                <w:sz w:val="20"/>
                <w:szCs w:val="20"/>
              </w:rPr>
            </w:pPr>
          </w:p>
        </w:tc>
        <w:tc>
          <w:tcPr>
            <w:tcW w:w="13791" w:type="dxa"/>
            <w:gridSpan w:val="8"/>
          </w:tcPr>
          <w:p w14:paraId="56136D1D" w14:textId="464B8552" w:rsidR="0057631F" w:rsidRPr="005F5C71" w:rsidRDefault="0057631F" w:rsidP="00374AA0">
            <w:pPr>
              <w:pStyle w:val="CommentText"/>
              <w:ind w:left="-6"/>
              <w:rPr>
                <w:rFonts w:eastAsia="Calibri" w:cs="Times New Roman"/>
                <w:b/>
              </w:rPr>
            </w:pPr>
            <w:r w:rsidRPr="005F5C71">
              <w:rPr>
                <w:rFonts w:eastAsia="Calibri" w:cs="Times New Roman"/>
                <w:b/>
              </w:rPr>
              <w:t xml:space="preserve">Implementation Stage of the Project </w:t>
            </w:r>
          </w:p>
        </w:tc>
      </w:tr>
      <w:tr w:rsidR="002042A5" w:rsidRPr="005F5C71" w14:paraId="5C9A26AC" w14:textId="77777777" w:rsidTr="00DD3A1A">
        <w:tc>
          <w:tcPr>
            <w:tcW w:w="385" w:type="dxa"/>
          </w:tcPr>
          <w:p w14:paraId="26E216B8" w14:textId="77777777" w:rsidR="0057631F" w:rsidRPr="00F24700" w:rsidRDefault="0057631F" w:rsidP="00F851C4">
            <w:pPr>
              <w:pStyle w:val="ListParagraph"/>
              <w:numPr>
                <w:ilvl w:val="0"/>
                <w:numId w:val="8"/>
              </w:numPr>
              <w:ind w:left="315" w:hanging="283"/>
              <w:rPr>
                <w:rFonts w:eastAsia="Calibri" w:cs="Times New Roman"/>
                <w:sz w:val="20"/>
                <w:szCs w:val="20"/>
              </w:rPr>
            </w:pPr>
          </w:p>
        </w:tc>
        <w:tc>
          <w:tcPr>
            <w:tcW w:w="1885" w:type="dxa"/>
          </w:tcPr>
          <w:p w14:paraId="4D288EEC" w14:textId="15BF68BA" w:rsidR="0057631F" w:rsidRPr="005F5C71" w:rsidRDefault="0057631F" w:rsidP="00FF70B5">
            <w:pPr>
              <w:jc w:val="left"/>
              <w:rPr>
                <w:rFonts w:eastAsia="Calibri" w:cs="Times New Roman"/>
                <w:sz w:val="20"/>
                <w:szCs w:val="20"/>
              </w:rPr>
            </w:pPr>
            <w:r w:rsidRPr="00F24700">
              <w:rPr>
                <w:rFonts w:eastAsia="Calibri" w:cs="Times New Roman"/>
                <w:sz w:val="20"/>
                <w:szCs w:val="20"/>
              </w:rPr>
              <w:t>GRM Operationalization</w:t>
            </w:r>
            <w:r w:rsidR="00F54AC9">
              <w:rPr>
                <w:rFonts w:eastAsia="Calibri" w:cs="Times New Roman"/>
                <w:sz w:val="20"/>
                <w:szCs w:val="20"/>
              </w:rPr>
              <w:t xml:space="preserve"> </w:t>
            </w:r>
            <w:r w:rsidR="001120D4">
              <w:rPr>
                <w:rFonts w:eastAsia="Calibri" w:cs="Times New Roman"/>
                <w:sz w:val="20"/>
                <w:szCs w:val="20"/>
              </w:rPr>
              <w:t xml:space="preserve">as part of </w:t>
            </w:r>
            <w:r w:rsidR="00F54AC9">
              <w:rPr>
                <w:rFonts w:eastAsia="Calibri" w:cs="Times New Roman"/>
                <w:sz w:val="20"/>
                <w:szCs w:val="20"/>
              </w:rPr>
              <w:t xml:space="preserve">Broader </w:t>
            </w:r>
            <w:r w:rsidR="001120D4">
              <w:rPr>
                <w:rFonts w:eastAsia="Calibri" w:cs="Times New Roman"/>
                <w:sz w:val="20"/>
                <w:szCs w:val="20"/>
              </w:rPr>
              <w:t xml:space="preserve">MIMIP </w:t>
            </w:r>
            <w:r w:rsidR="00F54AC9">
              <w:rPr>
                <w:rFonts w:eastAsia="Calibri" w:cs="Times New Roman"/>
                <w:sz w:val="20"/>
                <w:szCs w:val="20"/>
              </w:rPr>
              <w:t>Awareness Raising</w:t>
            </w:r>
          </w:p>
        </w:tc>
        <w:tc>
          <w:tcPr>
            <w:tcW w:w="1565" w:type="dxa"/>
          </w:tcPr>
          <w:p w14:paraId="319BB5FF" w14:textId="10F31711" w:rsidR="00720EBB" w:rsidRDefault="00720EBB" w:rsidP="00FF70B5">
            <w:pPr>
              <w:jc w:val="left"/>
              <w:rPr>
                <w:rFonts w:eastAsia="Calibri" w:cs="Times New Roman"/>
                <w:sz w:val="20"/>
                <w:szCs w:val="20"/>
              </w:rPr>
            </w:pPr>
          </w:p>
          <w:p w14:paraId="2AFCF88D" w14:textId="692AFF94" w:rsidR="00524A7D" w:rsidRDefault="00383AE9" w:rsidP="00FF70B5">
            <w:pPr>
              <w:jc w:val="left"/>
              <w:rPr>
                <w:rFonts w:eastAsia="Calibri" w:cs="Times New Roman"/>
                <w:sz w:val="20"/>
                <w:szCs w:val="20"/>
              </w:rPr>
            </w:pPr>
            <w:r>
              <w:rPr>
                <w:rFonts w:eastAsia="Calibri" w:cs="Times New Roman"/>
                <w:sz w:val="20"/>
                <w:szCs w:val="20"/>
              </w:rPr>
              <w:t>(</w:t>
            </w:r>
            <w:proofErr w:type="spellStart"/>
            <w:r>
              <w:rPr>
                <w:rFonts w:eastAsia="Calibri" w:cs="Times New Roman"/>
                <w:sz w:val="20"/>
                <w:szCs w:val="20"/>
              </w:rPr>
              <w:t>i</w:t>
            </w:r>
            <w:proofErr w:type="spellEnd"/>
            <w:r>
              <w:rPr>
                <w:rFonts w:eastAsia="Calibri" w:cs="Times New Roman"/>
                <w:sz w:val="20"/>
                <w:szCs w:val="20"/>
              </w:rPr>
              <w:t xml:space="preserve">) raising stakeholder and citizen awareness of </w:t>
            </w:r>
            <w:r w:rsidR="00524A7D">
              <w:rPr>
                <w:rFonts w:eastAsia="Calibri" w:cs="Times New Roman"/>
                <w:sz w:val="20"/>
                <w:szCs w:val="20"/>
              </w:rPr>
              <w:t xml:space="preserve">the </w:t>
            </w:r>
            <w:r>
              <w:rPr>
                <w:rFonts w:eastAsia="Calibri" w:cs="Times New Roman"/>
                <w:sz w:val="20"/>
                <w:szCs w:val="20"/>
              </w:rPr>
              <w:t xml:space="preserve">MIMIP Project and associated benefits to RMI; (ii) notifying </w:t>
            </w:r>
            <w:r w:rsidR="00524A7D">
              <w:rPr>
                <w:rFonts w:eastAsia="Calibri" w:cs="Times New Roman"/>
                <w:sz w:val="20"/>
                <w:szCs w:val="20"/>
              </w:rPr>
              <w:t xml:space="preserve">the community of the </w:t>
            </w:r>
            <w:r>
              <w:rPr>
                <w:rFonts w:eastAsia="Calibri" w:cs="Times New Roman"/>
                <w:sz w:val="20"/>
                <w:szCs w:val="20"/>
              </w:rPr>
              <w:t xml:space="preserve">process for engagement with the project for any reason and </w:t>
            </w:r>
          </w:p>
          <w:p w14:paraId="577F5547" w14:textId="782D4585" w:rsidR="00383AE9" w:rsidRPr="003224F7" w:rsidRDefault="00383AE9" w:rsidP="00FF70B5">
            <w:pPr>
              <w:jc w:val="left"/>
              <w:rPr>
                <w:rFonts w:eastAsia="Calibri" w:cs="Times New Roman"/>
                <w:sz w:val="20"/>
                <w:szCs w:val="20"/>
              </w:rPr>
            </w:pPr>
            <w:r>
              <w:rPr>
                <w:rFonts w:eastAsia="Calibri" w:cs="Times New Roman"/>
                <w:sz w:val="20"/>
                <w:szCs w:val="20"/>
              </w:rPr>
              <w:t xml:space="preserve">(iii) </w:t>
            </w:r>
            <w:r w:rsidR="00AF7D0D">
              <w:rPr>
                <w:rFonts w:eastAsia="Calibri" w:cs="Times New Roman"/>
                <w:sz w:val="20"/>
                <w:szCs w:val="20"/>
              </w:rPr>
              <w:t xml:space="preserve">providing information on </w:t>
            </w:r>
            <w:r>
              <w:rPr>
                <w:rFonts w:eastAsia="Calibri" w:cs="Times New Roman"/>
                <w:sz w:val="20"/>
                <w:szCs w:val="20"/>
              </w:rPr>
              <w:t xml:space="preserve">the GRM process and means of accessing the GRM.  </w:t>
            </w:r>
          </w:p>
          <w:p w14:paraId="3D1E37F2" w14:textId="6989E879" w:rsidR="00383AE9" w:rsidRPr="005F5C71" w:rsidRDefault="00383AE9" w:rsidP="00FF70B5">
            <w:pPr>
              <w:jc w:val="left"/>
              <w:rPr>
                <w:rFonts w:eastAsia="Calibri" w:cs="Times New Roman"/>
                <w:sz w:val="20"/>
                <w:szCs w:val="20"/>
              </w:rPr>
            </w:pPr>
          </w:p>
        </w:tc>
        <w:tc>
          <w:tcPr>
            <w:tcW w:w="1931" w:type="dxa"/>
          </w:tcPr>
          <w:p w14:paraId="477B38D0" w14:textId="58C8A4C4" w:rsidR="00D4752E" w:rsidRDefault="001120D4" w:rsidP="00FF70B5">
            <w:pPr>
              <w:jc w:val="left"/>
              <w:rPr>
                <w:rFonts w:eastAsia="Calibri" w:cs="Times New Roman"/>
                <w:sz w:val="20"/>
                <w:szCs w:val="20"/>
              </w:rPr>
            </w:pPr>
            <w:r>
              <w:rPr>
                <w:rFonts w:eastAsia="Calibri" w:cs="Times New Roman"/>
                <w:sz w:val="20"/>
                <w:szCs w:val="20"/>
              </w:rPr>
              <w:t>B</w:t>
            </w:r>
            <w:r w:rsidR="0057631F">
              <w:rPr>
                <w:rFonts w:eastAsia="Calibri" w:cs="Times New Roman"/>
                <w:sz w:val="20"/>
                <w:szCs w:val="20"/>
              </w:rPr>
              <w:t>road information dissemination across wide range of media outlets</w:t>
            </w:r>
            <w:r>
              <w:rPr>
                <w:rFonts w:eastAsia="Calibri" w:cs="Times New Roman"/>
                <w:sz w:val="20"/>
                <w:szCs w:val="20"/>
              </w:rPr>
              <w:t>.</w:t>
            </w:r>
          </w:p>
          <w:p w14:paraId="3D15575B" w14:textId="4E962E4C" w:rsidR="00AF7D0D" w:rsidRDefault="00020599" w:rsidP="00FF70B5">
            <w:pPr>
              <w:jc w:val="left"/>
              <w:rPr>
                <w:rFonts w:eastAsia="Calibri" w:cs="Times New Roman"/>
                <w:sz w:val="20"/>
                <w:szCs w:val="20"/>
              </w:rPr>
            </w:pPr>
            <w:r>
              <w:rPr>
                <w:rFonts w:eastAsia="Calibri" w:cs="Times New Roman"/>
                <w:sz w:val="20"/>
                <w:szCs w:val="20"/>
              </w:rPr>
              <w:t>Final method</w:t>
            </w:r>
            <w:r w:rsidR="00524A7D">
              <w:rPr>
                <w:rFonts w:eastAsia="Calibri" w:cs="Times New Roman"/>
                <w:sz w:val="20"/>
                <w:szCs w:val="20"/>
              </w:rPr>
              <w:t>ology</w:t>
            </w:r>
            <w:r>
              <w:rPr>
                <w:rFonts w:eastAsia="Calibri" w:cs="Times New Roman"/>
                <w:sz w:val="20"/>
                <w:szCs w:val="20"/>
              </w:rPr>
              <w:t xml:space="preserve"> to be determined by Comms </w:t>
            </w:r>
            <w:r w:rsidRPr="00746AF9">
              <w:rPr>
                <w:rFonts w:eastAsia="Calibri" w:cs="Times New Roman"/>
                <w:sz w:val="20"/>
                <w:szCs w:val="20"/>
              </w:rPr>
              <w:t xml:space="preserve">specialist </w:t>
            </w:r>
            <w:r w:rsidR="00746AF9" w:rsidRPr="00B37999">
              <w:rPr>
                <w:rFonts w:eastAsia="Calibri" w:cs="Times New Roman"/>
                <w:sz w:val="20"/>
                <w:szCs w:val="20"/>
              </w:rPr>
              <w:t>[in consultation with CIU Safeguards specialists]</w:t>
            </w:r>
            <w:r w:rsidR="00746AF9" w:rsidRPr="00746AF9">
              <w:rPr>
                <w:rFonts w:eastAsia="Calibri" w:cs="Times New Roman"/>
                <w:sz w:val="20"/>
                <w:szCs w:val="20"/>
              </w:rPr>
              <w:t xml:space="preserve"> </w:t>
            </w:r>
            <w:r w:rsidR="00746AF9" w:rsidRPr="00B37999">
              <w:rPr>
                <w:rFonts w:eastAsia="Calibri" w:cs="Times New Roman"/>
                <w:sz w:val="20"/>
                <w:szCs w:val="20"/>
              </w:rPr>
              <w:t>If Comms specialist not engaged in time then CIU Safeguards Team to undertake works.</w:t>
            </w:r>
            <w:r w:rsidR="00C805CD">
              <w:rPr>
                <w:rFonts w:eastAsia="Calibri" w:cs="Times New Roman"/>
                <w:sz w:val="20"/>
                <w:szCs w:val="20"/>
              </w:rPr>
              <w:t xml:space="preserve"> W</w:t>
            </w:r>
            <w:r w:rsidR="001C1CC1">
              <w:rPr>
                <w:rFonts w:eastAsia="Calibri" w:cs="Times New Roman"/>
                <w:sz w:val="20"/>
                <w:szCs w:val="20"/>
              </w:rPr>
              <w:t xml:space="preserve">ill </w:t>
            </w:r>
            <w:r>
              <w:rPr>
                <w:rFonts w:eastAsia="Calibri" w:cs="Times New Roman"/>
                <w:sz w:val="20"/>
                <w:szCs w:val="20"/>
              </w:rPr>
              <w:t>include</w:t>
            </w:r>
            <w:r w:rsidR="000361A7">
              <w:rPr>
                <w:rFonts w:eastAsia="Calibri" w:cs="Times New Roman"/>
                <w:sz w:val="20"/>
                <w:szCs w:val="20"/>
              </w:rPr>
              <w:t xml:space="preserve"> </w:t>
            </w:r>
            <w:r w:rsidRPr="00020599">
              <w:rPr>
                <w:rFonts w:eastAsia="Calibri" w:cs="Times New Roman"/>
                <w:sz w:val="20"/>
                <w:szCs w:val="20"/>
              </w:rPr>
              <w:t>Radio</w:t>
            </w:r>
            <w:r>
              <w:rPr>
                <w:rFonts w:eastAsia="Calibri" w:cs="Times New Roman"/>
                <w:sz w:val="20"/>
                <w:szCs w:val="20"/>
              </w:rPr>
              <w:t xml:space="preserve">, </w:t>
            </w:r>
            <w:r w:rsidRPr="00020599">
              <w:rPr>
                <w:rFonts w:eastAsia="Calibri" w:cs="Times New Roman"/>
                <w:sz w:val="20"/>
                <w:szCs w:val="20"/>
              </w:rPr>
              <w:t>Marshall Islands Journal</w:t>
            </w:r>
            <w:r>
              <w:rPr>
                <w:rFonts w:eastAsia="Calibri" w:cs="Times New Roman"/>
                <w:sz w:val="20"/>
                <w:szCs w:val="20"/>
              </w:rPr>
              <w:t xml:space="preserve">, </w:t>
            </w:r>
            <w:r w:rsidRPr="00020599">
              <w:rPr>
                <w:rFonts w:eastAsia="Calibri" w:cs="Times New Roman"/>
                <w:sz w:val="20"/>
                <w:szCs w:val="20"/>
              </w:rPr>
              <w:t>Internet</w:t>
            </w:r>
            <w:r w:rsidR="000361A7">
              <w:rPr>
                <w:rFonts w:eastAsia="Calibri" w:cs="Times New Roman"/>
                <w:sz w:val="20"/>
                <w:szCs w:val="20"/>
              </w:rPr>
              <w:t xml:space="preserve"> (RMIPA and DIDA websites and respective Facebook pages); and </w:t>
            </w:r>
            <w:r w:rsidRPr="00020599">
              <w:rPr>
                <w:rFonts w:eastAsia="Calibri" w:cs="Times New Roman"/>
                <w:sz w:val="20"/>
                <w:szCs w:val="20"/>
              </w:rPr>
              <w:t>Notice Boards</w:t>
            </w:r>
            <w:r w:rsidR="000361A7">
              <w:rPr>
                <w:rFonts w:eastAsia="Calibri" w:cs="Times New Roman"/>
                <w:sz w:val="20"/>
                <w:szCs w:val="20"/>
              </w:rPr>
              <w:t>,</w:t>
            </w:r>
          </w:p>
          <w:p w14:paraId="5F844B9B" w14:textId="77777777" w:rsidR="008E2443" w:rsidRDefault="008E2443" w:rsidP="00FF70B5">
            <w:pPr>
              <w:jc w:val="left"/>
              <w:rPr>
                <w:rFonts w:eastAsia="Calibri" w:cs="Times New Roman"/>
                <w:sz w:val="20"/>
                <w:szCs w:val="20"/>
              </w:rPr>
            </w:pPr>
            <w:r>
              <w:rPr>
                <w:rFonts w:eastAsia="Calibri" w:cs="Times New Roman"/>
                <w:sz w:val="20"/>
                <w:szCs w:val="20"/>
              </w:rPr>
              <w:t>A 1 page ‘know how to complain’ brochure / webpage to be prepared and loaded onto the DIDA website, along with links to online complaints or an email address.</w:t>
            </w:r>
          </w:p>
          <w:p w14:paraId="4B550AF7" w14:textId="183DA87E" w:rsidR="008E2443" w:rsidRPr="005F5C71" w:rsidRDefault="008E2443" w:rsidP="00FF70B5">
            <w:pPr>
              <w:jc w:val="left"/>
              <w:rPr>
                <w:rFonts w:eastAsia="Calibri" w:cs="Times New Roman"/>
                <w:sz w:val="20"/>
                <w:szCs w:val="20"/>
              </w:rPr>
            </w:pPr>
            <w:r>
              <w:rPr>
                <w:rFonts w:eastAsia="Calibri" w:cs="Times New Roman"/>
                <w:sz w:val="20"/>
                <w:szCs w:val="20"/>
              </w:rPr>
              <w:t xml:space="preserve">DIDA/CIU to confirm whether they </w:t>
            </w:r>
            <w:r w:rsidR="00C15F51">
              <w:rPr>
                <w:rFonts w:eastAsia="Calibri" w:cs="Times New Roman"/>
                <w:sz w:val="20"/>
                <w:szCs w:val="20"/>
              </w:rPr>
              <w:t xml:space="preserve">want to </w:t>
            </w:r>
            <w:r>
              <w:rPr>
                <w:rFonts w:eastAsia="Calibri" w:cs="Times New Roman"/>
                <w:sz w:val="20"/>
                <w:szCs w:val="20"/>
              </w:rPr>
              <w:t>have a</w:t>
            </w:r>
            <w:r w:rsidR="00C15F51">
              <w:rPr>
                <w:rFonts w:eastAsia="Calibri" w:cs="Times New Roman"/>
                <w:sz w:val="20"/>
                <w:szCs w:val="20"/>
              </w:rPr>
              <w:t>n</w:t>
            </w:r>
            <w:r>
              <w:rPr>
                <w:rFonts w:eastAsia="Calibri" w:cs="Times New Roman"/>
                <w:sz w:val="20"/>
                <w:szCs w:val="20"/>
              </w:rPr>
              <w:t xml:space="preserve"> online </w:t>
            </w:r>
            <w:r>
              <w:rPr>
                <w:rFonts w:eastAsia="Calibri" w:cs="Times New Roman"/>
                <w:sz w:val="20"/>
                <w:szCs w:val="20"/>
              </w:rPr>
              <w:lastRenderedPageBreak/>
              <w:t>complaints portal</w:t>
            </w:r>
            <w:r w:rsidR="00C15F51">
              <w:rPr>
                <w:rFonts w:eastAsia="Calibri" w:cs="Times New Roman"/>
                <w:sz w:val="20"/>
                <w:szCs w:val="20"/>
              </w:rPr>
              <w:t xml:space="preserve"> and how this will be managed</w:t>
            </w:r>
            <w:r>
              <w:rPr>
                <w:rFonts w:eastAsia="Calibri" w:cs="Times New Roman"/>
                <w:sz w:val="20"/>
                <w:szCs w:val="20"/>
              </w:rPr>
              <w:t>.</w:t>
            </w:r>
          </w:p>
        </w:tc>
        <w:tc>
          <w:tcPr>
            <w:tcW w:w="1732" w:type="dxa"/>
          </w:tcPr>
          <w:p w14:paraId="18928D95" w14:textId="4C755A5D" w:rsidR="0057631F" w:rsidRPr="005F5C71" w:rsidRDefault="0057631F" w:rsidP="00FF70B5">
            <w:pPr>
              <w:jc w:val="left"/>
              <w:rPr>
                <w:rFonts w:eastAsia="Calibri" w:cs="Times New Roman"/>
                <w:sz w:val="20"/>
                <w:szCs w:val="20"/>
              </w:rPr>
            </w:pPr>
            <w:r>
              <w:rPr>
                <w:rFonts w:eastAsia="Calibri" w:cs="Times New Roman"/>
                <w:sz w:val="20"/>
                <w:szCs w:val="20"/>
              </w:rPr>
              <w:lastRenderedPageBreak/>
              <w:t>To be determined by Comms specialist.</w:t>
            </w:r>
            <w:r w:rsidRPr="005F5C71">
              <w:rPr>
                <w:rFonts w:eastAsia="Calibri" w:cs="Times New Roman"/>
                <w:sz w:val="20"/>
                <w:szCs w:val="20"/>
              </w:rPr>
              <w:t xml:space="preserve"> </w:t>
            </w:r>
          </w:p>
        </w:tc>
        <w:tc>
          <w:tcPr>
            <w:tcW w:w="1279" w:type="dxa"/>
          </w:tcPr>
          <w:p w14:paraId="5A6AB5B0" w14:textId="77777777" w:rsidR="00746AF9" w:rsidRPr="00746AF9" w:rsidRDefault="008E2443" w:rsidP="00FF70B5">
            <w:pPr>
              <w:jc w:val="left"/>
              <w:rPr>
                <w:rFonts w:eastAsia="Calibri" w:cs="Times New Roman"/>
                <w:sz w:val="20"/>
                <w:szCs w:val="20"/>
              </w:rPr>
            </w:pPr>
            <w:r>
              <w:rPr>
                <w:rFonts w:eastAsia="Calibri" w:cs="Times New Roman"/>
                <w:sz w:val="20"/>
                <w:szCs w:val="20"/>
              </w:rPr>
              <w:t xml:space="preserve">GM to be publicized in general language on DIDA website </w:t>
            </w:r>
            <w:r w:rsidR="00746AF9" w:rsidRPr="00746AF9">
              <w:rPr>
                <w:sz w:val="20"/>
                <w:szCs w:val="20"/>
              </w:rPr>
              <w:t xml:space="preserve">prior to  Strategic Plan process starting.  </w:t>
            </w:r>
          </w:p>
          <w:p w14:paraId="5BE0A55E" w14:textId="727AEA87" w:rsidR="008E2443" w:rsidRDefault="008E2443" w:rsidP="00FF70B5">
            <w:pPr>
              <w:jc w:val="left"/>
              <w:rPr>
                <w:rFonts w:eastAsia="Calibri" w:cs="Times New Roman"/>
                <w:sz w:val="20"/>
                <w:szCs w:val="20"/>
              </w:rPr>
            </w:pPr>
            <w:r>
              <w:rPr>
                <w:rFonts w:eastAsia="Calibri" w:cs="Times New Roman"/>
                <w:sz w:val="20"/>
                <w:szCs w:val="20"/>
              </w:rPr>
              <w:t>.</w:t>
            </w:r>
          </w:p>
          <w:p w14:paraId="0AF303BC" w14:textId="77777777" w:rsidR="008E2443" w:rsidRDefault="008E2443" w:rsidP="00FF70B5">
            <w:pPr>
              <w:jc w:val="left"/>
              <w:rPr>
                <w:rFonts w:eastAsia="Calibri" w:cs="Times New Roman"/>
                <w:sz w:val="20"/>
                <w:szCs w:val="20"/>
              </w:rPr>
            </w:pPr>
          </w:p>
          <w:p w14:paraId="47BA8BC4" w14:textId="77777777" w:rsidR="008E2443" w:rsidRDefault="008E2443" w:rsidP="00FF70B5">
            <w:pPr>
              <w:jc w:val="left"/>
              <w:rPr>
                <w:rFonts w:eastAsia="Calibri" w:cs="Times New Roman"/>
                <w:sz w:val="20"/>
                <w:szCs w:val="20"/>
              </w:rPr>
            </w:pPr>
          </w:p>
          <w:p w14:paraId="7F55941E" w14:textId="77777777" w:rsidR="008E2443" w:rsidRDefault="008E2443" w:rsidP="00FF70B5">
            <w:pPr>
              <w:jc w:val="left"/>
              <w:rPr>
                <w:rFonts w:eastAsia="Calibri" w:cs="Times New Roman"/>
                <w:sz w:val="20"/>
                <w:szCs w:val="20"/>
              </w:rPr>
            </w:pPr>
          </w:p>
          <w:p w14:paraId="1E592728" w14:textId="77777777" w:rsidR="008E2443" w:rsidRDefault="008E2443" w:rsidP="00FF70B5">
            <w:pPr>
              <w:jc w:val="left"/>
              <w:rPr>
                <w:rFonts w:eastAsia="Calibri" w:cs="Times New Roman"/>
                <w:sz w:val="20"/>
                <w:szCs w:val="20"/>
              </w:rPr>
            </w:pPr>
          </w:p>
          <w:p w14:paraId="789AEA0A" w14:textId="77777777" w:rsidR="008E2443" w:rsidRDefault="008E2443" w:rsidP="00FF70B5">
            <w:pPr>
              <w:jc w:val="left"/>
              <w:rPr>
                <w:rFonts w:eastAsia="Calibri" w:cs="Times New Roman"/>
                <w:sz w:val="20"/>
                <w:szCs w:val="20"/>
              </w:rPr>
            </w:pPr>
          </w:p>
          <w:p w14:paraId="3A673AAB" w14:textId="77777777" w:rsidR="008E2443" w:rsidRDefault="008E2443" w:rsidP="00FF70B5">
            <w:pPr>
              <w:jc w:val="left"/>
              <w:rPr>
                <w:rFonts w:eastAsia="Calibri" w:cs="Times New Roman"/>
                <w:sz w:val="20"/>
                <w:szCs w:val="20"/>
              </w:rPr>
            </w:pPr>
          </w:p>
          <w:p w14:paraId="494E5D87" w14:textId="12043D28" w:rsidR="008E2443" w:rsidRPr="005F5C71" w:rsidRDefault="00C15F51" w:rsidP="00FF70B5">
            <w:pPr>
              <w:jc w:val="left"/>
              <w:rPr>
                <w:rFonts w:eastAsia="Calibri" w:cs="Times New Roman"/>
                <w:sz w:val="20"/>
                <w:szCs w:val="20"/>
              </w:rPr>
            </w:pPr>
            <w:r>
              <w:rPr>
                <w:rFonts w:eastAsia="Calibri" w:cs="Times New Roman"/>
                <w:sz w:val="20"/>
                <w:szCs w:val="20"/>
              </w:rPr>
              <w:t xml:space="preserve">Decision to be </w:t>
            </w:r>
            <w:r w:rsidR="008E2443">
              <w:rPr>
                <w:rFonts w:eastAsia="Calibri" w:cs="Times New Roman"/>
                <w:sz w:val="20"/>
                <w:szCs w:val="20"/>
              </w:rPr>
              <w:t>confirmed and</w:t>
            </w:r>
            <w:r>
              <w:rPr>
                <w:rFonts w:eastAsia="Calibri" w:cs="Times New Roman"/>
                <w:sz w:val="20"/>
                <w:szCs w:val="20"/>
              </w:rPr>
              <w:t xml:space="preserve"> documented.  I</w:t>
            </w:r>
            <w:r w:rsidR="008E2443">
              <w:rPr>
                <w:rFonts w:eastAsia="Calibri" w:cs="Times New Roman"/>
                <w:sz w:val="20"/>
                <w:szCs w:val="20"/>
              </w:rPr>
              <w:t>f so,</w:t>
            </w:r>
            <w:r>
              <w:rPr>
                <w:rFonts w:eastAsia="Calibri" w:cs="Times New Roman"/>
                <w:sz w:val="20"/>
                <w:szCs w:val="20"/>
              </w:rPr>
              <w:t xml:space="preserve"> the portal</w:t>
            </w:r>
            <w:r w:rsidR="008E2443">
              <w:rPr>
                <w:rFonts w:eastAsia="Calibri" w:cs="Times New Roman"/>
                <w:sz w:val="20"/>
                <w:szCs w:val="20"/>
              </w:rPr>
              <w:t xml:space="preserve"> to be up and running by Dec 31</w:t>
            </w:r>
            <w:proofErr w:type="gramStart"/>
            <w:r w:rsidR="008E2443">
              <w:rPr>
                <w:rFonts w:eastAsia="Calibri" w:cs="Times New Roman"/>
                <w:sz w:val="20"/>
                <w:szCs w:val="20"/>
              </w:rPr>
              <w:t xml:space="preserve"> 2020</w:t>
            </w:r>
            <w:proofErr w:type="gramEnd"/>
            <w:r w:rsidR="008E2443">
              <w:rPr>
                <w:rFonts w:eastAsia="Calibri" w:cs="Times New Roman"/>
                <w:sz w:val="20"/>
                <w:szCs w:val="20"/>
              </w:rPr>
              <w:t>.</w:t>
            </w:r>
          </w:p>
        </w:tc>
        <w:tc>
          <w:tcPr>
            <w:tcW w:w="1893" w:type="dxa"/>
          </w:tcPr>
          <w:p w14:paraId="6AD9AC61" w14:textId="77777777" w:rsidR="0057631F" w:rsidRDefault="0057631F" w:rsidP="00FF70B5">
            <w:pPr>
              <w:jc w:val="left"/>
              <w:rPr>
                <w:rFonts w:eastAsia="Calibri" w:cs="Times New Roman"/>
                <w:sz w:val="20"/>
                <w:szCs w:val="20"/>
              </w:rPr>
            </w:pPr>
            <w:r>
              <w:rPr>
                <w:rFonts w:eastAsia="Calibri" w:cs="Times New Roman"/>
                <w:sz w:val="20"/>
                <w:szCs w:val="20"/>
              </w:rPr>
              <w:t xml:space="preserve">CIU Comms specialist </w:t>
            </w:r>
            <w:r>
              <w:rPr>
                <w:rFonts w:eastAsia="Calibri" w:cs="Times New Roman"/>
                <w:sz w:val="20"/>
                <w:szCs w:val="20"/>
                <w:u w:val="single"/>
              </w:rPr>
              <w:t>OR</w:t>
            </w:r>
            <w:r>
              <w:rPr>
                <w:rFonts w:eastAsia="Calibri" w:cs="Times New Roman"/>
                <w:sz w:val="20"/>
                <w:szCs w:val="20"/>
              </w:rPr>
              <w:t xml:space="preserve"> contracted MIMIP Comms specialist – decision TBC.</w:t>
            </w:r>
          </w:p>
          <w:p w14:paraId="7325822A" w14:textId="77777777" w:rsidR="008E2443" w:rsidRDefault="008E2443" w:rsidP="00FF70B5">
            <w:pPr>
              <w:jc w:val="left"/>
              <w:rPr>
                <w:rFonts w:eastAsia="Calibri" w:cs="Times New Roman"/>
                <w:sz w:val="20"/>
                <w:szCs w:val="20"/>
              </w:rPr>
            </w:pPr>
          </w:p>
          <w:p w14:paraId="61ECDCDD" w14:textId="77777777" w:rsidR="008E2443" w:rsidRDefault="008E2443" w:rsidP="00FF70B5">
            <w:pPr>
              <w:jc w:val="left"/>
              <w:rPr>
                <w:rFonts w:eastAsia="Calibri" w:cs="Times New Roman"/>
                <w:sz w:val="20"/>
                <w:szCs w:val="20"/>
              </w:rPr>
            </w:pPr>
          </w:p>
          <w:p w14:paraId="761A380C" w14:textId="0601E961" w:rsidR="008E2443" w:rsidRDefault="008E2443" w:rsidP="00FF70B5">
            <w:pPr>
              <w:jc w:val="left"/>
              <w:rPr>
                <w:rFonts w:eastAsia="Calibri" w:cs="Times New Roman"/>
                <w:sz w:val="20"/>
                <w:szCs w:val="20"/>
              </w:rPr>
            </w:pPr>
            <w:r>
              <w:rPr>
                <w:rFonts w:eastAsia="Calibri" w:cs="Times New Roman"/>
                <w:sz w:val="20"/>
                <w:szCs w:val="20"/>
              </w:rPr>
              <w:t>CIU and DIDA</w:t>
            </w:r>
          </w:p>
          <w:p w14:paraId="7F2020FC" w14:textId="77777777" w:rsidR="008E2443" w:rsidRDefault="008E2443" w:rsidP="00FF70B5">
            <w:pPr>
              <w:jc w:val="left"/>
              <w:rPr>
                <w:rFonts w:eastAsia="Calibri" w:cs="Times New Roman"/>
                <w:sz w:val="20"/>
                <w:szCs w:val="20"/>
              </w:rPr>
            </w:pPr>
          </w:p>
          <w:p w14:paraId="6DA7AB98" w14:textId="77777777" w:rsidR="008E2443" w:rsidRDefault="008E2443" w:rsidP="00FF70B5">
            <w:pPr>
              <w:jc w:val="left"/>
              <w:rPr>
                <w:rFonts w:eastAsia="Calibri" w:cs="Times New Roman"/>
                <w:sz w:val="20"/>
                <w:szCs w:val="20"/>
              </w:rPr>
            </w:pPr>
          </w:p>
          <w:p w14:paraId="3CDB36F2" w14:textId="77777777" w:rsidR="008E2443" w:rsidRDefault="008E2443" w:rsidP="00FF70B5">
            <w:pPr>
              <w:jc w:val="left"/>
              <w:rPr>
                <w:rFonts w:eastAsia="Calibri" w:cs="Times New Roman"/>
                <w:sz w:val="20"/>
                <w:szCs w:val="20"/>
              </w:rPr>
            </w:pPr>
          </w:p>
          <w:p w14:paraId="2EBDD320" w14:textId="77777777" w:rsidR="008E2443" w:rsidRDefault="008E2443" w:rsidP="00FF70B5">
            <w:pPr>
              <w:jc w:val="left"/>
              <w:rPr>
                <w:rFonts w:eastAsia="Calibri" w:cs="Times New Roman"/>
                <w:sz w:val="20"/>
                <w:szCs w:val="20"/>
              </w:rPr>
            </w:pPr>
          </w:p>
          <w:p w14:paraId="4F8A546F" w14:textId="77777777" w:rsidR="008E2443" w:rsidRDefault="008E2443" w:rsidP="00FF70B5">
            <w:pPr>
              <w:jc w:val="left"/>
              <w:rPr>
                <w:rFonts w:eastAsia="Calibri" w:cs="Times New Roman"/>
                <w:sz w:val="20"/>
                <w:szCs w:val="20"/>
              </w:rPr>
            </w:pPr>
          </w:p>
          <w:p w14:paraId="1591B445" w14:textId="77777777" w:rsidR="008E2443" w:rsidRDefault="008E2443" w:rsidP="00FF70B5">
            <w:pPr>
              <w:jc w:val="left"/>
              <w:rPr>
                <w:rFonts w:eastAsia="Calibri" w:cs="Times New Roman"/>
                <w:sz w:val="20"/>
                <w:szCs w:val="20"/>
              </w:rPr>
            </w:pPr>
          </w:p>
          <w:p w14:paraId="2A130A02" w14:textId="77777777" w:rsidR="008E2443" w:rsidRDefault="008E2443" w:rsidP="00FF70B5">
            <w:pPr>
              <w:jc w:val="left"/>
              <w:rPr>
                <w:rFonts w:eastAsia="Calibri" w:cs="Times New Roman"/>
                <w:sz w:val="20"/>
                <w:szCs w:val="20"/>
              </w:rPr>
            </w:pPr>
          </w:p>
          <w:p w14:paraId="6CE8769E" w14:textId="77777777" w:rsidR="008E2443" w:rsidRDefault="008E2443" w:rsidP="00FF70B5">
            <w:pPr>
              <w:jc w:val="left"/>
              <w:rPr>
                <w:rFonts w:eastAsia="Calibri" w:cs="Times New Roman"/>
                <w:sz w:val="20"/>
                <w:szCs w:val="20"/>
              </w:rPr>
            </w:pPr>
          </w:p>
          <w:p w14:paraId="5E66DA0F" w14:textId="373B26DA" w:rsidR="008E2443" w:rsidRPr="00F24700" w:rsidRDefault="008E2443" w:rsidP="00FF70B5">
            <w:pPr>
              <w:jc w:val="left"/>
              <w:rPr>
                <w:rFonts w:eastAsia="Calibri" w:cs="Times New Roman"/>
                <w:sz w:val="20"/>
                <w:szCs w:val="20"/>
              </w:rPr>
            </w:pPr>
            <w:r>
              <w:rPr>
                <w:rFonts w:eastAsia="Calibri" w:cs="Times New Roman"/>
                <w:sz w:val="20"/>
                <w:szCs w:val="20"/>
              </w:rPr>
              <w:t>CIU / DIDA</w:t>
            </w:r>
          </w:p>
        </w:tc>
        <w:tc>
          <w:tcPr>
            <w:tcW w:w="2163" w:type="dxa"/>
          </w:tcPr>
          <w:p w14:paraId="045077B3" w14:textId="77777777" w:rsidR="00CD28DF" w:rsidRDefault="00CD28DF" w:rsidP="00FF70B5">
            <w:pPr>
              <w:pStyle w:val="ListParagraph"/>
              <w:numPr>
                <w:ilvl w:val="0"/>
                <w:numId w:val="7"/>
              </w:numPr>
              <w:spacing w:after="60"/>
              <w:ind w:left="335"/>
              <w:jc w:val="left"/>
              <w:rPr>
                <w:rFonts w:eastAsia="Calibri" w:cs="Times New Roman"/>
                <w:sz w:val="20"/>
                <w:szCs w:val="20"/>
              </w:rPr>
            </w:pPr>
            <w:r w:rsidRPr="00D66FA9">
              <w:rPr>
                <w:rFonts w:eastAsia="Calibri" w:cs="Times New Roman"/>
                <w:sz w:val="20"/>
                <w:szCs w:val="20"/>
              </w:rPr>
              <w:t>RMIPA</w:t>
            </w:r>
          </w:p>
          <w:p w14:paraId="1E0CB571" w14:textId="77777777" w:rsidR="00CD28DF" w:rsidRPr="00D66FA9" w:rsidRDefault="00CD28DF" w:rsidP="00FF70B5">
            <w:pPr>
              <w:pStyle w:val="ListParagraph"/>
              <w:numPr>
                <w:ilvl w:val="0"/>
                <w:numId w:val="7"/>
              </w:numPr>
              <w:spacing w:after="60"/>
              <w:ind w:left="335"/>
              <w:jc w:val="left"/>
              <w:rPr>
                <w:rFonts w:eastAsia="Calibri" w:cs="Times New Roman"/>
                <w:sz w:val="20"/>
                <w:szCs w:val="20"/>
              </w:rPr>
            </w:pPr>
            <w:r>
              <w:rPr>
                <w:rFonts w:eastAsia="Calibri" w:cs="Times New Roman"/>
                <w:sz w:val="20"/>
                <w:szCs w:val="20"/>
              </w:rPr>
              <w:t>All other Project partners (from SEP)</w:t>
            </w:r>
          </w:p>
          <w:p w14:paraId="6899785B" w14:textId="77777777" w:rsidR="00CD28DF" w:rsidRPr="00D66FA9" w:rsidRDefault="00CD28DF" w:rsidP="00FF70B5">
            <w:pPr>
              <w:pStyle w:val="ListParagraph"/>
              <w:numPr>
                <w:ilvl w:val="0"/>
                <w:numId w:val="7"/>
              </w:numPr>
              <w:spacing w:after="0"/>
              <w:ind w:left="335"/>
              <w:jc w:val="left"/>
              <w:rPr>
                <w:rFonts w:eastAsia="Calibri" w:cs="Times New Roman"/>
                <w:sz w:val="20"/>
                <w:szCs w:val="20"/>
              </w:rPr>
            </w:pPr>
            <w:r w:rsidRPr="00D66FA9">
              <w:rPr>
                <w:rFonts w:eastAsia="Times New Roman" w:cs="Calibri"/>
                <w:bCs/>
                <w:color w:val="000000"/>
                <w:sz w:val="20"/>
                <w:szCs w:val="20"/>
                <w:lang w:eastAsia="en-MY"/>
              </w:rPr>
              <w:t>Women United Together Marshall Islands (WUTMI)</w:t>
            </w:r>
          </w:p>
          <w:p w14:paraId="2AC85F5F" w14:textId="180C914D" w:rsidR="0057631F" w:rsidRPr="00F24700" w:rsidRDefault="00CD28DF" w:rsidP="00FF70B5">
            <w:pPr>
              <w:pStyle w:val="ListParagraph"/>
              <w:numPr>
                <w:ilvl w:val="0"/>
                <w:numId w:val="7"/>
              </w:numPr>
              <w:ind w:left="335"/>
              <w:jc w:val="left"/>
              <w:rPr>
                <w:rFonts w:eastAsia="Calibri" w:cs="Times New Roman"/>
                <w:sz w:val="20"/>
                <w:szCs w:val="20"/>
              </w:rPr>
            </w:pPr>
            <w:r w:rsidRPr="00D66FA9">
              <w:rPr>
                <w:rFonts w:eastAsia="Calibri" w:cs="Times New Roman"/>
                <w:sz w:val="20"/>
                <w:szCs w:val="20"/>
              </w:rPr>
              <w:t>Br</w:t>
            </w:r>
            <w:r>
              <w:rPr>
                <w:rFonts w:eastAsia="Calibri" w:cs="Times New Roman"/>
                <w:sz w:val="20"/>
                <w:szCs w:val="20"/>
              </w:rPr>
              <w:t>o</w:t>
            </w:r>
            <w:r w:rsidRPr="00D66FA9">
              <w:rPr>
                <w:rFonts w:eastAsia="Calibri" w:cs="Times New Roman"/>
                <w:sz w:val="20"/>
                <w:szCs w:val="20"/>
              </w:rPr>
              <w:t>ader community (wider engagement)</w:t>
            </w:r>
          </w:p>
        </w:tc>
        <w:tc>
          <w:tcPr>
            <w:tcW w:w="1343" w:type="dxa"/>
          </w:tcPr>
          <w:p w14:paraId="63FF84E5" w14:textId="77777777" w:rsidR="0057631F" w:rsidRPr="005F5C71" w:rsidRDefault="0057631F" w:rsidP="0033022C">
            <w:pPr>
              <w:rPr>
                <w:rFonts w:eastAsia="Calibri" w:cs="Times New Roman"/>
                <w:sz w:val="20"/>
                <w:szCs w:val="20"/>
              </w:rPr>
            </w:pPr>
          </w:p>
        </w:tc>
      </w:tr>
      <w:tr w:rsidR="002042A5" w:rsidRPr="005F5C71" w14:paraId="4979FD16" w14:textId="77777777" w:rsidTr="00DD3A1A">
        <w:tc>
          <w:tcPr>
            <w:tcW w:w="385" w:type="dxa"/>
          </w:tcPr>
          <w:p w14:paraId="16C4BD72" w14:textId="77777777" w:rsidR="001C14D6" w:rsidRPr="00F24700" w:rsidRDefault="001C14D6" w:rsidP="001C14D6">
            <w:pPr>
              <w:pStyle w:val="ListParagraph"/>
              <w:numPr>
                <w:ilvl w:val="0"/>
                <w:numId w:val="8"/>
              </w:numPr>
              <w:ind w:left="315" w:hanging="283"/>
              <w:rPr>
                <w:rFonts w:eastAsia="Calibri" w:cs="Times New Roman"/>
                <w:sz w:val="20"/>
                <w:szCs w:val="20"/>
              </w:rPr>
            </w:pPr>
          </w:p>
        </w:tc>
        <w:tc>
          <w:tcPr>
            <w:tcW w:w="1885" w:type="dxa"/>
          </w:tcPr>
          <w:p w14:paraId="49C6F3E0" w14:textId="304CC9BE" w:rsidR="001C14D6" w:rsidRPr="005F5C71" w:rsidRDefault="001C14D6" w:rsidP="00FF70B5">
            <w:pPr>
              <w:jc w:val="left"/>
              <w:rPr>
                <w:rFonts w:eastAsia="Calibri" w:cs="Times New Roman"/>
                <w:sz w:val="20"/>
                <w:szCs w:val="20"/>
              </w:rPr>
            </w:pPr>
            <w:r w:rsidRPr="00F24700">
              <w:rPr>
                <w:rFonts w:eastAsia="Calibri" w:cs="Times New Roman"/>
                <w:sz w:val="20"/>
                <w:szCs w:val="20"/>
              </w:rPr>
              <w:t>Ports Strategic Development Planning consultancy</w:t>
            </w:r>
          </w:p>
        </w:tc>
        <w:tc>
          <w:tcPr>
            <w:tcW w:w="1565" w:type="dxa"/>
          </w:tcPr>
          <w:p w14:paraId="02174B24" w14:textId="72076089" w:rsidR="00E2058D" w:rsidRDefault="00C12906" w:rsidP="00FF70B5">
            <w:pPr>
              <w:pStyle w:val="CommentText"/>
              <w:jc w:val="left"/>
            </w:pPr>
            <w:r>
              <w:t xml:space="preserve">Ensure the </w:t>
            </w:r>
            <w:r w:rsidR="00E2058D">
              <w:t>Strategic Development Planning programme</w:t>
            </w:r>
            <w:r w:rsidR="00FF049F">
              <w:t xml:space="preserve">, albeit </w:t>
            </w:r>
            <w:r w:rsidR="00E2058D">
              <w:t xml:space="preserve">a </w:t>
            </w:r>
            <w:r w:rsidR="00FF70B5">
              <w:t>high-level</w:t>
            </w:r>
            <w:r w:rsidR="00E2058D">
              <w:t xml:space="preserve"> policy </w:t>
            </w:r>
            <w:r w:rsidR="00FF049F">
              <w:t>consider</w:t>
            </w:r>
            <w:r>
              <w:t>s</w:t>
            </w:r>
            <w:r w:rsidR="00FF049F">
              <w:t xml:space="preserve"> high level E&amp;S issues, with a likely emphasis on land ownership which is recognized as one of the most significant strategic maters in</w:t>
            </w:r>
            <w:r w:rsidR="00C15F51">
              <w:t xml:space="preserve"> </w:t>
            </w:r>
            <w:r w:rsidR="00FF049F">
              <w:t xml:space="preserve">RMI.  </w:t>
            </w:r>
            <w:r w:rsidR="00E2058D">
              <w:t xml:space="preserve">  </w:t>
            </w:r>
          </w:p>
          <w:p w14:paraId="1E8C7F6D" w14:textId="71A1AC1D" w:rsidR="001C14D6" w:rsidRPr="005F5C71" w:rsidRDefault="001C14D6" w:rsidP="00FF70B5">
            <w:pPr>
              <w:jc w:val="left"/>
              <w:rPr>
                <w:rFonts w:eastAsia="Calibri" w:cs="Times New Roman"/>
                <w:sz w:val="20"/>
                <w:szCs w:val="20"/>
              </w:rPr>
            </w:pPr>
          </w:p>
        </w:tc>
        <w:tc>
          <w:tcPr>
            <w:tcW w:w="1931" w:type="dxa"/>
          </w:tcPr>
          <w:p w14:paraId="1E71A990" w14:textId="77777777" w:rsidR="00C12906" w:rsidRPr="00FF049F" w:rsidRDefault="00C12906" w:rsidP="00FF70B5">
            <w:pPr>
              <w:jc w:val="left"/>
              <w:rPr>
                <w:rFonts w:eastAsia="Calibri" w:cs="Times New Roman"/>
                <w:sz w:val="20"/>
                <w:szCs w:val="20"/>
              </w:rPr>
            </w:pPr>
            <w:r w:rsidRPr="00FF049F">
              <w:rPr>
                <w:rFonts w:eastAsia="Calibri" w:cs="Times New Roman"/>
                <w:sz w:val="20"/>
                <w:szCs w:val="20"/>
              </w:rPr>
              <w:t>To be confirmed once Inception Report has been provided by consultants.</w:t>
            </w:r>
          </w:p>
          <w:p w14:paraId="2676F725" w14:textId="266B27C7" w:rsidR="001C14D6" w:rsidRDefault="00C12906" w:rsidP="00FF70B5">
            <w:pPr>
              <w:jc w:val="left"/>
              <w:rPr>
                <w:rFonts w:eastAsia="Calibri" w:cs="Times New Roman"/>
                <w:sz w:val="20"/>
                <w:szCs w:val="20"/>
              </w:rPr>
            </w:pPr>
            <w:r>
              <w:rPr>
                <w:rFonts w:eastAsia="Calibri" w:cs="Times New Roman"/>
                <w:sz w:val="20"/>
                <w:szCs w:val="20"/>
              </w:rPr>
              <w:t>Likely methods to include f</w:t>
            </w:r>
            <w:r w:rsidRPr="005F5C71">
              <w:rPr>
                <w:rFonts w:eastAsia="Calibri" w:cs="Times New Roman"/>
                <w:sz w:val="20"/>
                <w:szCs w:val="20"/>
              </w:rPr>
              <w:t>ace</w:t>
            </w:r>
            <w:r w:rsidR="001C14D6" w:rsidRPr="005F5C71">
              <w:rPr>
                <w:rFonts w:eastAsia="Calibri" w:cs="Times New Roman"/>
                <w:sz w:val="20"/>
                <w:szCs w:val="20"/>
              </w:rPr>
              <w:t xml:space="preserve"> to face </w:t>
            </w:r>
            <w:r w:rsidR="00FF70B5" w:rsidRPr="005F5C71">
              <w:rPr>
                <w:rFonts w:eastAsia="Calibri" w:cs="Times New Roman"/>
                <w:sz w:val="20"/>
                <w:szCs w:val="20"/>
              </w:rPr>
              <w:t>meetings</w:t>
            </w:r>
            <w:r w:rsidR="00FF70B5">
              <w:rPr>
                <w:rFonts w:eastAsia="Calibri" w:cs="Times New Roman"/>
                <w:sz w:val="20"/>
                <w:szCs w:val="20"/>
              </w:rPr>
              <w:t>,</w:t>
            </w:r>
            <w:r w:rsidR="001C14D6">
              <w:rPr>
                <w:rFonts w:eastAsia="Calibri" w:cs="Times New Roman"/>
                <w:sz w:val="20"/>
                <w:szCs w:val="20"/>
              </w:rPr>
              <w:t xml:space="preserve"> video links and other comms connections as appropriate.</w:t>
            </w:r>
            <w:r w:rsidR="001C14D6" w:rsidRPr="005F5C71">
              <w:rPr>
                <w:rFonts w:eastAsia="Calibri" w:cs="Times New Roman"/>
                <w:sz w:val="20"/>
                <w:szCs w:val="20"/>
              </w:rPr>
              <w:t xml:space="preserve"> </w:t>
            </w:r>
          </w:p>
          <w:p w14:paraId="0F0146C0" w14:textId="197A1C42" w:rsidR="00C15F51" w:rsidRPr="005F5C71" w:rsidRDefault="00C15F51" w:rsidP="00FF70B5">
            <w:pPr>
              <w:jc w:val="left"/>
              <w:rPr>
                <w:rFonts w:eastAsia="Calibri" w:cs="Times New Roman"/>
                <w:sz w:val="20"/>
                <w:szCs w:val="20"/>
              </w:rPr>
            </w:pPr>
            <w:r>
              <w:rPr>
                <w:rFonts w:eastAsia="Calibri" w:cs="Times New Roman"/>
                <w:sz w:val="20"/>
                <w:szCs w:val="20"/>
              </w:rPr>
              <w:t>Circulation of draft documents for comment.</w:t>
            </w:r>
          </w:p>
        </w:tc>
        <w:tc>
          <w:tcPr>
            <w:tcW w:w="1732" w:type="dxa"/>
          </w:tcPr>
          <w:p w14:paraId="119AD7D8" w14:textId="77777777" w:rsidR="00C12906" w:rsidRDefault="00C12906" w:rsidP="00FF70B5">
            <w:pPr>
              <w:spacing w:after="60"/>
              <w:ind w:left="-92"/>
              <w:jc w:val="left"/>
              <w:rPr>
                <w:sz w:val="20"/>
                <w:szCs w:val="20"/>
              </w:rPr>
            </w:pPr>
            <w:r w:rsidRPr="00F77D89">
              <w:rPr>
                <w:sz w:val="20"/>
                <w:szCs w:val="20"/>
              </w:rPr>
              <w:t xml:space="preserve">To be confirmed once Inception Report </w:t>
            </w:r>
            <w:r>
              <w:rPr>
                <w:sz w:val="20"/>
                <w:szCs w:val="20"/>
              </w:rPr>
              <w:t xml:space="preserve">has been </w:t>
            </w:r>
            <w:r w:rsidRPr="00F77D89">
              <w:rPr>
                <w:sz w:val="20"/>
                <w:szCs w:val="20"/>
              </w:rPr>
              <w:t>provided by consultants</w:t>
            </w:r>
            <w:r>
              <w:rPr>
                <w:sz w:val="20"/>
                <w:szCs w:val="20"/>
              </w:rPr>
              <w:t>.</w:t>
            </w:r>
          </w:p>
          <w:p w14:paraId="7C573E1A" w14:textId="77777777" w:rsidR="00C12906" w:rsidRDefault="00C12906" w:rsidP="00FF70B5">
            <w:pPr>
              <w:spacing w:after="60"/>
              <w:ind w:left="-92"/>
              <w:jc w:val="left"/>
              <w:rPr>
                <w:sz w:val="20"/>
                <w:szCs w:val="20"/>
              </w:rPr>
            </w:pPr>
          </w:p>
          <w:p w14:paraId="3F03F889" w14:textId="402AC24C" w:rsidR="001C14D6" w:rsidRPr="005F5C71" w:rsidRDefault="001C14D6" w:rsidP="00FF70B5">
            <w:pPr>
              <w:jc w:val="left"/>
              <w:rPr>
                <w:rFonts w:eastAsia="Calibri" w:cs="Times New Roman"/>
                <w:sz w:val="20"/>
                <w:szCs w:val="20"/>
              </w:rPr>
            </w:pPr>
          </w:p>
        </w:tc>
        <w:tc>
          <w:tcPr>
            <w:tcW w:w="1279" w:type="dxa"/>
          </w:tcPr>
          <w:p w14:paraId="21ABD5B3" w14:textId="77777777" w:rsidR="001C14D6" w:rsidRDefault="001C14D6" w:rsidP="00FF70B5">
            <w:pPr>
              <w:jc w:val="left"/>
              <w:rPr>
                <w:rFonts w:eastAsia="Calibri" w:cs="Times New Roman"/>
                <w:sz w:val="20"/>
                <w:szCs w:val="20"/>
              </w:rPr>
            </w:pPr>
            <w:r w:rsidRPr="003224F7">
              <w:rPr>
                <w:sz w:val="20"/>
                <w:szCs w:val="20"/>
              </w:rPr>
              <w:t xml:space="preserve">To be confirmed once Inception Report </w:t>
            </w:r>
            <w:r>
              <w:rPr>
                <w:sz w:val="20"/>
                <w:szCs w:val="20"/>
              </w:rPr>
              <w:t xml:space="preserve">has been </w:t>
            </w:r>
            <w:r w:rsidRPr="003224F7">
              <w:rPr>
                <w:sz w:val="20"/>
                <w:szCs w:val="20"/>
              </w:rPr>
              <w:t>provided by consultants</w:t>
            </w:r>
            <w:r>
              <w:rPr>
                <w:rFonts w:eastAsia="Calibri" w:cs="Times New Roman"/>
                <w:sz w:val="20"/>
                <w:szCs w:val="20"/>
              </w:rPr>
              <w:t xml:space="preserve"> </w:t>
            </w:r>
          </w:p>
          <w:p w14:paraId="16626FDF" w14:textId="0EBCB683" w:rsidR="001C14D6" w:rsidRPr="005F5C71" w:rsidRDefault="002042A5" w:rsidP="00FF70B5">
            <w:pPr>
              <w:jc w:val="left"/>
              <w:rPr>
                <w:rFonts w:eastAsia="Calibri" w:cs="Times New Roman"/>
                <w:sz w:val="20"/>
                <w:szCs w:val="20"/>
              </w:rPr>
            </w:pPr>
            <w:r>
              <w:rPr>
                <w:rFonts w:eastAsia="Calibri" w:cs="Times New Roman"/>
                <w:sz w:val="20"/>
                <w:szCs w:val="20"/>
              </w:rPr>
              <w:t xml:space="preserve">Q3 </w:t>
            </w:r>
            <w:r w:rsidR="001C14D6">
              <w:rPr>
                <w:rFonts w:eastAsia="Calibri" w:cs="Times New Roman"/>
                <w:sz w:val="20"/>
                <w:szCs w:val="20"/>
              </w:rPr>
              <w:t xml:space="preserve">2021 – Q2 </w:t>
            </w:r>
            <w:r>
              <w:rPr>
                <w:rFonts w:eastAsia="Calibri" w:cs="Times New Roman"/>
                <w:sz w:val="20"/>
                <w:szCs w:val="20"/>
              </w:rPr>
              <w:t>2022</w:t>
            </w:r>
          </w:p>
        </w:tc>
        <w:tc>
          <w:tcPr>
            <w:tcW w:w="1893" w:type="dxa"/>
          </w:tcPr>
          <w:p w14:paraId="596A7828" w14:textId="436CA744" w:rsidR="001C14D6" w:rsidRPr="005F5C71" w:rsidRDefault="001C14D6" w:rsidP="00FF70B5">
            <w:pPr>
              <w:jc w:val="left"/>
              <w:rPr>
                <w:rFonts w:eastAsia="Calibri" w:cs="Times New Roman"/>
                <w:sz w:val="20"/>
                <w:szCs w:val="20"/>
              </w:rPr>
            </w:pPr>
            <w:r>
              <w:rPr>
                <w:rFonts w:eastAsia="Calibri" w:cs="Times New Roman"/>
                <w:sz w:val="20"/>
                <w:szCs w:val="20"/>
              </w:rPr>
              <w:t>Consultants have primary responsibility</w:t>
            </w:r>
            <w:r w:rsidR="00C15F51">
              <w:rPr>
                <w:rFonts w:eastAsia="Calibri" w:cs="Times New Roman"/>
                <w:sz w:val="20"/>
                <w:szCs w:val="20"/>
              </w:rPr>
              <w:t xml:space="preserve"> to support the RMIPA and MIMIP Project Manager in consultation activities</w:t>
            </w:r>
            <w:r>
              <w:rPr>
                <w:rFonts w:eastAsia="Calibri" w:cs="Times New Roman"/>
                <w:sz w:val="20"/>
                <w:szCs w:val="20"/>
              </w:rPr>
              <w:t>. CIU Safeguards Team may be called on to provide some local coordination in consultation with MIMIP Project Manager</w:t>
            </w:r>
          </w:p>
        </w:tc>
        <w:tc>
          <w:tcPr>
            <w:tcW w:w="2163" w:type="dxa"/>
          </w:tcPr>
          <w:p w14:paraId="626E6155" w14:textId="77777777" w:rsidR="001C14D6" w:rsidRDefault="001C14D6" w:rsidP="00FF70B5">
            <w:pPr>
              <w:pStyle w:val="ListParagraph"/>
              <w:numPr>
                <w:ilvl w:val="0"/>
                <w:numId w:val="7"/>
              </w:numPr>
              <w:spacing w:after="60"/>
              <w:ind w:left="268"/>
              <w:jc w:val="left"/>
              <w:rPr>
                <w:sz w:val="20"/>
                <w:szCs w:val="20"/>
              </w:rPr>
            </w:pPr>
            <w:r w:rsidRPr="00710373">
              <w:rPr>
                <w:sz w:val="20"/>
                <w:szCs w:val="20"/>
              </w:rPr>
              <w:t xml:space="preserve">To be confirmed once Inception Report </w:t>
            </w:r>
            <w:r>
              <w:rPr>
                <w:sz w:val="20"/>
                <w:szCs w:val="20"/>
              </w:rPr>
              <w:t xml:space="preserve">has been </w:t>
            </w:r>
            <w:r w:rsidRPr="00710373">
              <w:rPr>
                <w:sz w:val="20"/>
                <w:szCs w:val="20"/>
              </w:rPr>
              <w:t>provided by consultants</w:t>
            </w:r>
          </w:p>
          <w:p w14:paraId="3F98F7D5" w14:textId="77777777" w:rsidR="001C14D6" w:rsidRDefault="001C14D6" w:rsidP="00FF70B5">
            <w:pPr>
              <w:pStyle w:val="ListParagraph"/>
              <w:numPr>
                <w:ilvl w:val="0"/>
                <w:numId w:val="7"/>
              </w:numPr>
              <w:spacing w:after="60"/>
              <w:ind w:left="268"/>
              <w:jc w:val="left"/>
              <w:rPr>
                <w:sz w:val="20"/>
                <w:szCs w:val="20"/>
              </w:rPr>
            </w:pPr>
            <w:r>
              <w:rPr>
                <w:sz w:val="20"/>
                <w:szCs w:val="20"/>
              </w:rPr>
              <w:t>Likely to include:</w:t>
            </w:r>
          </w:p>
          <w:p w14:paraId="6A688D2E" w14:textId="77777777" w:rsidR="001C14D6" w:rsidRDefault="001C14D6" w:rsidP="00FF70B5">
            <w:pPr>
              <w:pStyle w:val="ListParagraph"/>
              <w:numPr>
                <w:ilvl w:val="1"/>
                <w:numId w:val="7"/>
              </w:numPr>
              <w:spacing w:after="60"/>
              <w:ind w:left="562"/>
              <w:jc w:val="left"/>
              <w:rPr>
                <w:sz w:val="20"/>
                <w:szCs w:val="20"/>
              </w:rPr>
            </w:pPr>
            <w:r>
              <w:rPr>
                <w:sz w:val="20"/>
                <w:szCs w:val="20"/>
              </w:rPr>
              <w:t>All Project partners (from SEP)</w:t>
            </w:r>
          </w:p>
          <w:p w14:paraId="47FCFFA4" w14:textId="77777777" w:rsidR="001C14D6" w:rsidRDefault="001C14D6" w:rsidP="00FF70B5">
            <w:pPr>
              <w:pStyle w:val="ListParagraph"/>
              <w:numPr>
                <w:ilvl w:val="1"/>
                <w:numId w:val="7"/>
              </w:numPr>
              <w:spacing w:after="60"/>
              <w:ind w:left="562"/>
              <w:jc w:val="left"/>
              <w:rPr>
                <w:sz w:val="20"/>
                <w:szCs w:val="20"/>
              </w:rPr>
            </w:pPr>
            <w:r>
              <w:rPr>
                <w:sz w:val="20"/>
                <w:szCs w:val="20"/>
              </w:rPr>
              <w:t>Local government Majuro, Jaluit, Wotje, Arno</w:t>
            </w:r>
          </w:p>
          <w:p w14:paraId="4FE81FED" w14:textId="77777777" w:rsidR="001C14D6" w:rsidRDefault="001C14D6" w:rsidP="00FF70B5">
            <w:pPr>
              <w:pStyle w:val="ListParagraph"/>
              <w:numPr>
                <w:ilvl w:val="1"/>
                <w:numId w:val="7"/>
              </w:numPr>
              <w:spacing w:after="0"/>
              <w:ind w:left="562"/>
              <w:jc w:val="left"/>
              <w:rPr>
                <w:sz w:val="20"/>
                <w:szCs w:val="20"/>
              </w:rPr>
            </w:pPr>
            <w:r w:rsidRPr="000B00D1">
              <w:rPr>
                <w:sz w:val="20"/>
                <w:szCs w:val="20"/>
              </w:rPr>
              <w:t xml:space="preserve">Majuro Stevedore and Terminal Company </w:t>
            </w:r>
          </w:p>
          <w:p w14:paraId="171DAFC6" w14:textId="77777777" w:rsidR="001C14D6" w:rsidRPr="000B00D1" w:rsidRDefault="001C14D6" w:rsidP="00FF70B5">
            <w:pPr>
              <w:pStyle w:val="ListParagraph"/>
              <w:numPr>
                <w:ilvl w:val="1"/>
                <w:numId w:val="7"/>
              </w:numPr>
              <w:spacing w:after="0"/>
              <w:ind w:left="562"/>
              <w:jc w:val="left"/>
              <w:rPr>
                <w:sz w:val="20"/>
                <w:szCs w:val="20"/>
              </w:rPr>
            </w:pPr>
            <w:r w:rsidRPr="000B00D1">
              <w:rPr>
                <w:sz w:val="20"/>
                <w:szCs w:val="20"/>
              </w:rPr>
              <w:t>Kwajalein Atoll Port Authority</w:t>
            </w:r>
          </w:p>
          <w:p w14:paraId="64906E92" w14:textId="1C0424C9" w:rsidR="001C14D6" w:rsidRPr="005F5C71" w:rsidRDefault="001C14D6" w:rsidP="00FF70B5">
            <w:pPr>
              <w:pStyle w:val="ListParagraph"/>
              <w:numPr>
                <w:ilvl w:val="1"/>
                <w:numId w:val="7"/>
              </w:numPr>
              <w:spacing w:after="0"/>
              <w:ind w:left="562"/>
              <w:jc w:val="left"/>
              <w:rPr>
                <w:rFonts w:eastAsia="Calibri" w:cs="Times New Roman"/>
                <w:sz w:val="20"/>
                <w:szCs w:val="20"/>
              </w:rPr>
            </w:pPr>
            <w:r w:rsidRPr="000B00D1">
              <w:rPr>
                <w:sz w:val="20"/>
                <w:szCs w:val="20"/>
              </w:rPr>
              <w:t>Marshall Islands Shipping Corporation</w:t>
            </w:r>
          </w:p>
        </w:tc>
        <w:tc>
          <w:tcPr>
            <w:tcW w:w="1343" w:type="dxa"/>
          </w:tcPr>
          <w:p w14:paraId="13EEC14A" w14:textId="77777777" w:rsidR="001C14D6" w:rsidRPr="005F5C71" w:rsidRDefault="001C14D6" w:rsidP="00FF70B5">
            <w:pPr>
              <w:jc w:val="left"/>
              <w:rPr>
                <w:rFonts w:eastAsia="Calibri" w:cs="Times New Roman"/>
                <w:sz w:val="20"/>
                <w:szCs w:val="20"/>
              </w:rPr>
            </w:pPr>
          </w:p>
        </w:tc>
      </w:tr>
      <w:tr w:rsidR="002042A5" w:rsidRPr="005F5C71" w14:paraId="330C5F8C" w14:textId="77777777" w:rsidTr="00DD3A1A">
        <w:trPr>
          <w:trHeight w:val="8283"/>
        </w:trPr>
        <w:tc>
          <w:tcPr>
            <w:tcW w:w="385" w:type="dxa"/>
          </w:tcPr>
          <w:p w14:paraId="033F0EAD" w14:textId="77777777" w:rsidR="00CC5448" w:rsidRPr="00F24700" w:rsidRDefault="00CC5448" w:rsidP="00F851C4">
            <w:pPr>
              <w:pStyle w:val="ListParagraph"/>
              <w:numPr>
                <w:ilvl w:val="0"/>
                <w:numId w:val="8"/>
              </w:numPr>
              <w:ind w:left="315" w:hanging="283"/>
              <w:rPr>
                <w:rFonts w:eastAsia="Calibri" w:cs="Times New Roman"/>
                <w:sz w:val="20"/>
                <w:szCs w:val="20"/>
              </w:rPr>
            </w:pPr>
          </w:p>
        </w:tc>
        <w:tc>
          <w:tcPr>
            <w:tcW w:w="1885" w:type="dxa"/>
          </w:tcPr>
          <w:p w14:paraId="0D00CC40" w14:textId="1E4DECB4" w:rsidR="00CC5448" w:rsidRPr="005F5C71" w:rsidRDefault="00CC5448" w:rsidP="00FF70B5">
            <w:pPr>
              <w:jc w:val="left"/>
              <w:rPr>
                <w:rFonts w:eastAsia="Calibri" w:cs="Times New Roman"/>
                <w:sz w:val="20"/>
                <w:szCs w:val="20"/>
              </w:rPr>
            </w:pPr>
            <w:r w:rsidRPr="00F24700">
              <w:rPr>
                <w:rFonts w:eastAsia="Calibri" w:cs="Times New Roman"/>
                <w:sz w:val="20"/>
                <w:szCs w:val="20"/>
              </w:rPr>
              <w:t xml:space="preserve">Component 2.4e </w:t>
            </w:r>
            <w:r>
              <w:rPr>
                <w:rFonts w:eastAsia="Calibri" w:cs="Times New Roman"/>
                <w:sz w:val="20"/>
                <w:szCs w:val="20"/>
              </w:rPr>
              <w:t>-</w:t>
            </w:r>
            <w:r w:rsidRPr="00F24700">
              <w:rPr>
                <w:rFonts w:eastAsia="Calibri" w:cs="Times New Roman"/>
                <w:sz w:val="20"/>
                <w:szCs w:val="20"/>
              </w:rPr>
              <w:t xml:space="preserve"> supporting and elevating awareness and prevention of human trafficking and GBV</w:t>
            </w:r>
          </w:p>
          <w:p w14:paraId="72A85C45" w14:textId="15BF126C" w:rsidR="00CC5448" w:rsidRDefault="00CC5448" w:rsidP="00FF70B5">
            <w:pPr>
              <w:pStyle w:val="ListParagraph"/>
              <w:numPr>
                <w:ilvl w:val="0"/>
                <w:numId w:val="9"/>
              </w:numPr>
              <w:ind w:left="175" w:hanging="175"/>
              <w:jc w:val="left"/>
              <w:rPr>
                <w:rFonts w:eastAsia="Calibri" w:cs="Times New Roman"/>
                <w:sz w:val="20"/>
                <w:szCs w:val="20"/>
              </w:rPr>
            </w:pPr>
            <w:r w:rsidRPr="00F24700">
              <w:rPr>
                <w:rFonts w:eastAsia="Calibri" w:cs="Times New Roman"/>
                <w:sz w:val="20"/>
                <w:szCs w:val="20"/>
              </w:rPr>
              <w:t xml:space="preserve">needs assessment on trafficking and GBV to identify the availability of services </w:t>
            </w:r>
          </w:p>
          <w:p w14:paraId="4025BCD3" w14:textId="2BA953AD" w:rsidR="00113863" w:rsidRPr="0046660F" w:rsidRDefault="00113863" w:rsidP="00FF70B5">
            <w:pPr>
              <w:tabs>
                <w:tab w:val="left" w:pos="216"/>
              </w:tabs>
              <w:ind w:left="-3"/>
              <w:jc w:val="left"/>
              <w:rPr>
                <w:rFonts w:eastAsia="Calibri" w:cs="Times New Roman"/>
                <w:sz w:val="20"/>
                <w:szCs w:val="20"/>
              </w:rPr>
            </w:pPr>
            <w:r>
              <w:rPr>
                <w:rFonts w:eastAsia="Calibri" w:cs="Times New Roman"/>
                <w:sz w:val="20"/>
                <w:szCs w:val="20"/>
              </w:rPr>
              <w:t>iii)</w:t>
            </w:r>
            <w:r>
              <w:rPr>
                <w:rFonts w:eastAsia="Calibri" w:cs="Times New Roman"/>
                <w:sz w:val="20"/>
                <w:szCs w:val="20"/>
              </w:rPr>
              <w:tab/>
              <w:t xml:space="preserve"> </w:t>
            </w:r>
            <w:r w:rsidRPr="0046660F">
              <w:rPr>
                <w:rFonts w:eastAsia="Calibri" w:cs="Times New Roman"/>
                <w:sz w:val="20"/>
                <w:szCs w:val="20"/>
              </w:rPr>
              <w:t>conducting community awareness raising activities</w:t>
            </w:r>
          </w:p>
          <w:p w14:paraId="02C9C086" w14:textId="194F1919" w:rsidR="00113863" w:rsidRPr="0046660F" w:rsidRDefault="00113863" w:rsidP="00FF70B5">
            <w:pPr>
              <w:ind w:left="-3"/>
              <w:jc w:val="left"/>
              <w:rPr>
                <w:rFonts w:eastAsia="Calibri" w:cs="Times New Roman"/>
                <w:sz w:val="20"/>
                <w:szCs w:val="20"/>
              </w:rPr>
            </w:pPr>
            <w:r>
              <w:rPr>
                <w:rFonts w:eastAsia="Calibri" w:cs="Times New Roman"/>
                <w:sz w:val="20"/>
                <w:szCs w:val="20"/>
              </w:rPr>
              <w:t xml:space="preserve">iv) </w:t>
            </w:r>
            <w:r w:rsidRPr="0046660F">
              <w:rPr>
                <w:rFonts w:eastAsia="Calibri" w:cs="Times New Roman"/>
                <w:sz w:val="20"/>
                <w:szCs w:val="20"/>
              </w:rPr>
              <w:t xml:space="preserve">supporting survivors of trafficking and GBV through the provision of counselling, healthcare, and appropriately skilled police focal points </w:t>
            </w:r>
          </w:p>
          <w:p w14:paraId="616D7B72" w14:textId="50E0849D" w:rsidR="00113863" w:rsidRPr="00113863" w:rsidRDefault="00113863" w:rsidP="00FF70B5">
            <w:pPr>
              <w:jc w:val="left"/>
              <w:rPr>
                <w:rFonts w:eastAsia="Calibri" w:cs="Times New Roman"/>
                <w:sz w:val="20"/>
                <w:szCs w:val="20"/>
              </w:rPr>
            </w:pPr>
            <w:r>
              <w:rPr>
                <w:rFonts w:eastAsia="Calibri" w:cs="Times New Roman"/>
                <w:sz w:val="20"/>
                <w:szCs w:val="20"/>
              </w:rPr>
              <w:t xml:space="preserve">v) </w:t>
            </w:r>
            <w:r w:rsidRPr="003224F7">
              <w:rPr>
                <w:rFonts w:eastAsia="Calibri" w:cs="Times New Roman"/>
                <w:sz w:val="20"/>
                <w:szCs w:val="20"/>
              </w:rPr>
              <w:t>establishing a referral pathway for survivors of trafficking and G</w:t>
            </w:r>
            <w:r>
              <w:rPr>
                <w:rFonts w:eastAsia="Calibri" w:cs="Times New Roman"/>
                <w:sz w:val="20"/>
                <w:szCs w:val="20"/>
              </w:rPr>
              <w:t>BV</w:t>
            </w:r>
          </w:p>
          <w:p w14:paraId="782B13C6" w14:textId="3DBDCF86" w:rsidR="00CC5448" w:rsidRPr="00677D9F" w:rsidRDefault="00CC5448" w:rsidP="00FF70B5">
            <w:pPr>
              <w:jc w:val="left"/>
              <w:rPr>
                <w:rFonts w:eastAsia="Calibri" w:cs="Times New Roman"/>
                <w:sz w:val="20"/>
                <w:szCs w:val="20"/>
              </w:rPr>
            </w:pPr>
          </w:p>
        </w:tc>
        <w:tc>
          <w:tcPr>
            <w:tcW w:w="1565" w:type="dxa"/>
          </w:tcPr>
          <w:p w14:paraId="4CEFC720" w14:textId="579B210E" w:rsidR="00AE3F9C" w:rsidRDefault="00AE3F9C" w:rsidP="00FF70B5">
            <w:pPr>
              <w:pStyle w:val="CommentText"/>
              <w:jc w:val="left"/>
            </w:pPr>
            <w:r>
              <w:t>Ensure  th</w:t>
            </w:r>
            <w:r w:rsidR="005A2633">
              <w:t>at</w:t>
            </w:r>
            <w:r>
              <w:t xml:space="preserve"> </w:t>
            </w:r>
            <w:r>
              <w:rPr>
                <w:rFonts w:eastAsia="Calibri" w:cs="Times New Roman"/>
              </w:rPr>
              <w:t>consultants undertaking H</w:t>
            </w:r>
            <w:r w:rsidRPr="00CF6FDE">
              <w:rPr>
                <w:rFonts w:eastAsia="Calibri" w:cs="Times New Roman"/>
              </w:rPr>
              <w:t xml:space="preserve">uman </w:t>
            </w:r>
            <w:r>
              <w:rPr>
                <w:rFonts w:eastAsia="Calibri" w:cs="Times New Roman"/>
              </w:rPr>
              <w:t>T</w:t>
            </w:r>
            <w:r w:rsidRPr="00CF6FDE">
              <w:rPr>
                <w:rFonts w:eastAsia="Calibri" w:cs="Times New Roman"/>
              </w:rPr>
              <w:t>rafficking and GBV consultancy</w:t>
            </w:r>
            <w:r>
              <w:t xml:space="preserve"> take account of specific </w:t>
            </w:r>
            <w:r w:rsidR="004834F4">
              <w:t>issues raised by parties involved with HT and GBV management in RMI.</w:t>
            </w:r>
            <w:r>
              <w:t xml:space="preserve"> </w:t>
            </w:r>
          </w:p>
          <w:p w14:paraId="11B380C2" w14:textId="0CCAADF8" w:rsidR="00565E46" w:rsidRDefault="00565E46" w:rsidP="00FF70B5">
            <w:pPr>
              <w:pStyle w:val="CommentText"/>
              <w:jc w:val="left"/>
            </w:pPr>
            <w:r>
              <w:t>To facilitate development of a</w:t>
            </w:r>
            <w:r w:rsidR="005A2633">
              <w:t>n</w:t>
            </w:r>
            <w:r>
              <w:t xml:space="preserve"> </w:t>
            </w:r>
            <w:r w:rsidR="005A2633">
              <w:t xml:space="preserve">efficient </w:t>
            </w:r>
            <w:r>
              <w:t>portfolio-wide approach to HT and GBV management, thereby minimizing duplication of engagement with the small pool of relevant stakeholders in RMI.</w:t>
            </w:r>
          </w:p>
          <w:p w14:paraId="5BC21466" w14:textId="4E6BF6B1" w:rsidR="00E06484" w:rsidRPr="005F5C71" w:rsidRDefault="00E06484" w:rsidP="00FF70B5">
            <w:pPr>
              <w:jc w:val="left"/>
              <w:rPr>
                <w:rFonts w:eastAsia="Calibri" w:cs="Times New Roman"/>
                <w:sz w:val="20"/>
                <w:szCs w:val="20"/>
              </w:rPr>
            </w:pPr>
          </w:p>
        </w:tc>
        <w:tc>
          <w:tcPr>
            <w:tcW w:w="1931" w:type="dxa"/>
          </w:tcPr>
          <w:p w14:paraId="6F45E1FE" w14:textId="1FC52F81" w:rsidR="00CC5448" w:rsidRDefault="00CC5448" w:rsidP="00FF70B5">
            <w:pPr>
              <w:jc w:val="left"/>
              <w:rPr>
                <w:rFonts w:eastAsia="Calibri" w:cs="Times New Roman"/>
                <w:sz w:val="20"/>
                <w:szCs w:val="20"/>
              </w:rPr>
            </w:pPr>
            <w:r w:rsidRPr="005F5C71">
              <w:rPr>
                <w:rFonts w:eastAsia="Calibri" w:cs="Times New Roman"/>
                <w:sz w:val="20"/>
                <w:szCs w:val="20"/>
              </w:rPr>
              <w:t xml:space="preserve">Face to face meetings with </w:t>
            </w:r>
            <w:r w:rsidR="00565E46">
              <w:rPr>
                <w:rFonts w:eastAsia="Calibri" w:cs="Times New Roman"/>
                <w:sz w:val="20"/>
                <w:szCs w:val="20"/>
              </w:rPr>
              <w:t xml:space="preserve">stakeholder target groups, or remote </w:t>
            </w:r>
            <w:r>
              <w:rPr>
                <w:rFonts w:eastAsia="Calibri" w:cs="Times New Roman"/>
                <w:sz w:val="20"/>
                <w:szCs w:val="20"/>
              </w:rPr>
              <w:t xml:space="preserve">video </w:t>
            </w:r>
            <w:r w:rsidR="00565E46">
              <w:rPr>
                <w:rFonts w:eastAsia="Calibri" w:cs="Times New Roman"/>
                <w:sz w:val="20"/>
                <w:szCs w:val="20"/>
              </w:rPr>
              <w:t xml:space="preserve">meetings </w:t>
            </w:r>
            <w:r>
              <w:rPr>
                <w:rFonts w:eastAsia="Calibri" w:cs="Times New Roman"/>
                <w:sz w:val="20"/>
                <w:szCs w:val="20"/>
              </w:rPr>
              <w:t xml:space="preserve">links </w:t>
            </w:r>
            <w:r w:rsidR="00565E46">
              <w:rPr>
                <w:rFonts w:eastAsia="Calibri" w:cs="Times New Roman"/>
                <w:sz w:val="20"/>
                <w:szCs w:val="20"/>
              </w:rPr>
              <w:t xml:space="preserve">or </w:t>
            </w:r>
            <w:r>
              <w:rPr>
                <w:rFonts w:eastAsia="Calibri" w:cs="Times New Roman"/>
                <w:sz w:val="20"/>
                <w:szCs w:val="20"/>
              </w:rPr>
              <w:t>other comms connections as appropriate.</w:t>
            </w:r>
            <w:r w:rsidRPr="005F5C71">
              <w:rPr>
                <w:rFonts w:eastAsia="Calibri" w:cs="Times New Roman"/>
                <w:sz w:val="20"/>
                <w:szCs w:val="20"/>
              </w:rPr>
              <w:t xml:space="preserve"> </w:t>
            </w:r>
          </w:p>
          <w:p w14:paraId="062B0DD0" w14:textId="150BDDC1" w:rsidR="0046660F" w:rsidRDefault="00113863" w:rsidP="00FF70B5">
            <w:pPr>
              <w:jc w:val="left"/>
              <w:rPr>
                <w:rFonts w:eastAsia="Calibri" w:cs="Times New Roman"/>
                <w:sz w:val="20"/>
                <w:szCs w:val="20"/>
              </w:rPr>
            </w:pPr>
            <w:r>
              <w:rPr>
                <w:rFonts w:eastAsia="Calibri" w:cs="Times New Roman"/>
                <w:sz w:val="20"/>
                <w:szCs w:val="20"/>
              </w:rPr>
              <w:t>Where practicable to use existing RMI HT and GBV (and related) initi</w:t>
            </w:r>
            <w:r w:rsidR="0046660F">
              <w:rPr>
                <w:rFonts w:eastAsia="Calibri" w:cs="Times New Roman"/>
                <w:sz w:val="20"/>
                <w:szCs w:val="20"/>
              </w:rPr>
              <w:t>atives to avoid duplication and confusion. (applies to points iii, iv and v)</w:t>
            </w:r>
          </w:p>
          <w:p w14:paraId="66FBCB3A" w14:textId="57201DFB" w:rsidR="00AE3F9C" w:rsidRDefault="00565E46" w:rsidP="00FF70B5">
            <w:pPr>
              <w:jc w:val="left"/>
              <w:rPr>
                <w:rFonts w:eastAsia="Calibri" w:cs="Times New Roman"/>
                <w:sz w:val="20"/>
                <w:szCs w:val="20"/>
              </w:rPr>
            </w:pPr>
            <w:r>
              <w:rPr>
                <w:rFonts w:eastAsia="Calibri" w:cs="Times New Roman"/>
                <w:sz w:val="20"/>
                <w:szCs w:val="20"/>
              </w:rPr>
              <w:t xml:space="preserve">In consultation with CIU address the </w:t>
            </w:r>
            <w:r w:rsidR="00AE3F9C" w:rsidRPr="00677D9F">
              <w:rPr>
                <w:rFonts w:eastAsia="Calibri" w:cs="Times New Roman"/>
                <w:sz w:val="20"/>
                <w:szCs w:val="20"/>
              </w:rPr>
              <w:t xml:space="preserve">development of a service agreement </w:t>
            </w:r>
            <w:r>
              <w:rPr>
                <w:rFonts w:eastAsia="Calibri" w:cs="Times New Roman"/>
                <w:sz w:val="20"/>
                <w:szCs w:val="20"/>
              </w:rPr>
              <w:t>with WUTMI, setting</w:t>
            </w:r>
            <w:r w:rsidR="00AE3F9C" w:rsidRPr="00677D9F">
              <w:rPr>
                <w:rFonts w:eastAsia="Calibri" w:cs="Times New Roman"/>
                <w:sz w:val="20"/>
                <w:szCs w:val="20"/>
              </w:rPr>
              <w:t xml:space="preserve"> out the circumstances whereby WUTMI would support WB projects </w:t>
            </w:r>
            <w:r w:rsidR="005A2633">
              <w:rPr>
                <w:rFonts w:eastAsia="Calibri" w:cs="Times New Roman"/>
                <w:sz w:val="20"/>
                <w:szCs w:val="20"/>
              </w:rPr>
              <w:t xml:space="preserve">[including MIMIP] </w:t>
            </w:r>
            <w:r w:rsidR="00AE3F9C" w:rsidRPr="00677D9F">
              <w:rPr>
                <w:rFonts w:eastAsia="Calibri" w:cs="Times New Roman"/>
                <w:sz w:val="20"/>
                <w:szCs w:val="20"/>
              </w:rPr>
              <w:t>in terms of referrals of GBV or associated matters.</w:t>
            </w:r>
            <w:r w:rsidR="005A2633">
              <w:rPr>
                <w:rFonts w:eastAsia="Calibri" w:cs="Times New Roman"/>
                <w:sz w:val="20"/>
                <w:szCs w:val="20"/>
              </w:rPr>
              <w:t xml:space="preserve"> This will involve a series of meetings with WUTMI and their advisors.</w:t>
            </w:r>
          </w:p>
          <w:p w14:paraId="3F957B33" w14:textId="53B8B007" w:rsidR="00AE3F9C" w:rsidRPr="005F5C71" w:rsidRDefault="00AE3F9C" w:rsidP="00FF70B5">
            <w:pPr>
              <w:jc w:val="left"/>
              <w:rPr>
                <w:rFonts w:eastAsia="Calibri" w:cs="Times New Roman"/>
                <w:sz w:val="20"/>
                <w:szCs w:val="20"/>
              </w:rPr>
            </w:pPr>
          </w:p>
        </w:tc>
        <w:tc>
          <w:tcPr>
            <w:tcW w:w="1732" w:type="dxa"/>
          </w:tcPr>
          <w:p w14:paraId="2D8BA89E" w14:textId="4FD30EDC" w:rsidR="00CC5448" w:rsidRDefault="0046660F" w:rsidP="00FF70B5">
            <w:pPr>
              <w:jc w:val="left"/>
              <w:rPr>
                <w:rFonts w:eastAsia="Calibri" w:cs="Times New Roman"/>
                <w:sz w:val="20"/>
                <w:szCs w:val="20"/>
              </w:rPr>
            </w:pPr>
            <w:r>
              <w:rPr>
                <w:rFonts w:eastAsia="Calibri" w:cs="Times New Roman"/>
                <w:sz w:val="20"/>
                <w:szCs w:val="20"/>
              </w:rPr>
              <w:t>As required based on Inception Programme intended by Consultant. Most meetings will be one-off with a follow-up once a draft concept has been developed.</w:t>
            </w:r>
          </w:p>
          <w:p w14:paraId="64A42DD0" w14:textId="311C80F3" w:rsidR="005A2633" w:rsidRPr="005F5C71" w:rsidRDefault="005A2633" w:rsidP="00FF70B5">
            <w:pPr>
              <w:jc w:val="left"/>
              <w:rPr>
                <w:rFonts w:eastAsia="Calibri" w:cs="Times New Roman"/>
                <w:sz w:val="20"/>
                <w:szCs w:val="20"/>
              </w:rPr>
            </w:pPr>
          </w:p>
        </w:tc>
        <w:tc>
          <w:tcPr>
            <w:tcW w:w="1279" w:type="dxa"/>
          </w:tcPr>
          <w:p w14:paraId="097E800C" w14:textId="78B276F5" w:rsidR="00CC5448" w:rsidRPr="005F5C71" w:rsidRDefault="00640642" w:rsidP="00FF70B5">
            <w:pPr>
              <w:jc w:val="left"/>
              <w:rPr>
                <w:rFonts w:eastAsia="Calibri" w:cs="Times New Roman"/>
                <w:sz w:val="20"/>
                <w:szCs w:val="20"/>
              </w:rPr>
            </w:pPr>
            <w:r>
              <w:rPr>
                <w:rFonts w:eastAsia="Calibri" w:cs="Times New Roman"/>
                <w:sz w:val="20"/>
                <w:szCs w:val="20"/>
              </w:rPr>
              <w:t xml:space="preserve">Q4 </w:t>
            </w:r>
            <w:r w:rsidR="00CC5448">
              <w:rPr>
                <w:rFonts w:eastAsia="Calibri" w:cs="Times New Roman"/>
                <w:sz w:val="20"/>
                <w:szCs w:val="20"/>
              </w:rPr>
              <w:t>2021</w:t>
            </w:r>
          </w:p>
        </w:tc>
        <w:tc>
          <w:tcPr>
            <w:tcW w:w="1893" w:type="dxa"/>
          </w:tcPr>
          <w:p w14:paraId="55030D06" w14:textId="6EEDF000" w:rsidR="00CC5448" w:rsidRPr="005F5C71" w:rsidRDefault="004834F4" w:rsidP="00FF70B5">
            <w:pPr>
              <w:jc w:val="left"/>
              <w:rPr>
                <w:rFonts w:eastAsia="Calibri" w:cs="Times New Roman"/>
                <w:sz w:val="20"/>
                <w:szCs w:val="20"/>
              </w:rPr>
            </w:pPr>
            <w:r>
              <w:rPr>
                <w:rFonts w:eastAsia="Calibri" w:cs="Times New Roman"/>
                <w:sz w:val="20"/>
                <w:szCs w:val="20"/>
              </w:rPr>
              <w:t xml:space="preserve">Consultants have primary responsibility. CIU Safeguards Team may be called on to provide some local coordination </w:t>
            </w:r>
            <w:r w:rsidR="00CC5448">
              <w:rPr>
                <w:rFonts w:eastAsia="Calibri" w:cs="Times New Roman"/>
                <w:sz w:val="20"/>
                <w:szCs w:val="20"/>
              </w:rPr>
              <w:t>in consultation with MIMIP Project Manager</w:t>
            </w:r>
            <w:r w:rsidR="00C15F51">
              <w:rPr>
                <w:rFonts w:eastAsia="Calibri" w:cs="Times New Roman"/>
                <w:sz w:val="20"/>
                <w:szCs w:val="20"/>
              </w:rPr>
              <w:t>.</w:t>
            </w:r>
            <w:r w:rsidR="000A030B">
              <w:rPr>
                <w:rFonts w:eastAsia="Calibri" w:cs="Times New Roman"/>
                <w:sz w:val="20"/>
                <w:szCs w:val="20"/>
              </w:rPr>
              <w:t xml:space="preserve">  </w:t>
            </w:r>
          </w:p>
        </w:tc>
        <w:tc>
          <w:tcPr>
            <w:tcW w:w="2163" w:type="dxa"/>
          </w:tcPr>
          <w:p w14:paraId="1226235B" w14:textId="77777777" w:rsidR="004834F4" w:rsidRPr="00710373" w:rsidRDefault="004834F4" w:rsidP="00FF70B5">
            <w:pPr>
              <w:pStyle w:val="ListParagraph"/>
              <w:numPr>
                <w:ilvl w:val="0"/>
                <w:numId w:val="7"/>
              </w:numPr>
              <w:spacing w:after="60"/>
              <w:ind w:left="393"/>
              <w:jc w:val="left"/>
              <w:rPr>
                <w:sz w:val="20"/>
                <w:szCs w:val="20"/>
              </w:rPr>
            </w:pPr>
            <w:r w:rsidRPr="00710373">
              <w:rPr>
                <w:sz w:val="20"/>
                <w:szCs w:val="20"/>
              </w:rPr>
              <w:t>RMIPA</w:t>
            </w:r>
          </w:p>
          <w:p w14:paraId="5C272788" w14:textId="77777777" w:rsidR="004834F4" w:rsidRPr="00710373" w:rsidRDefault="004834F4" w:rsidP="00FF70B5">
            <w:pPr>
              <w:pStyle w:val="ListParagraph"/>
              <w:numPr>
                <w:ilvl w:val="0"/>
                <w:numId w:val="7"/>
              </w:numPr>
              <w:spacing w:after="60"/>
              <w:ind w:left="393"/>
              <w:jc w:val="left"/>
              <w:rPr>
                <w:sz w:val="20"/>
                <w:szCs w:val="20"/>
              </w:rPr>
            </w:pPr>
            <w:r w:rsidRPr="00710373">
              <w:rPr>
                <w:sz w:val="20"/>
                <w:szCs w:val="20"/>
              </w:rPr>
              <w:t xml:space="preserve">Department of Immigration </w:t>
            </w:r>
          </w:p>
          <w:p w14:paraId="65248590" w14:textId="77777777" w:rsidR="004834F4" w:rsidRPr="00710373" w:rsidRDefault="004834F4" w:rsidP="00FF70B5">
            <w:pPr>
              <w:pStyle w:val="ListParagraph"/>
              <w:numPr>
                <w:ilvl w:val="0"/>
                <w:numId w:val="7"/>
              </w:numPr>
              <w:spacing w:after="60"/>
              <w:ind w:left="393"/>
              <w:jc w:val="left"/>
              <w:rPr>
                <w:sz w:val="20"/>
                <w:szCs w:val="20"/>
              </w:rPr>
            </w:pPr>
            <w:r w:rsidRPr="00710373">
              <w:rPr>
                <w:sz w:val="20"/>
                <w:szCs w:val="20"/>
              </w:rPr>
              <w:t>Ministry of Cultural and Internal Affairs</w:t>
            </w:r>
          </w:p>
          <w:p w14:paraId="4524DA80" w14:textId="61D09408" w:rsidR="004834F4" w:rsidRDefault="004834F4" w:rsidP="00FF70B5">
            <w:pPr>
              <w:pStyle w:val="ListParagraph"/>
              <w:numPr>
                <w:ilvl w:val="0"/>
                <w:numId w:val="7"/>
              </w:numPr>
              <w:spacing w:after="60"/>
              <w:ind w:left="393"/>
              <w:jc w:val="left"/>
              <w:rPr>
                <w:sz w:val="20"/>
                <w:szCs w:val="20"/>
              </w:rPr>
            </w:pPr>
            <w:r w:rsidRPr="00710373">
              <w:rPr>
                <w:sz w:val="20"/>
                <w:szCs w:val="20"/>
              </w:rPr>
              <w:t>Ministry of Justice</w:t>
            </w:r>
          </w:p>
          <w:p w14:paraId="19CBE08F" w14:textId="2230B7DC" w:rsidR="005A2633" w:rsidRPr="00710373" w:rsidRDefault="005A2633" w:rsidP="00FF70B5">
            <w:pPr>
              <w:pStyle w:val="ListParagraph"/>
              <w:numPr>
                <w:ilvl w:val="0"/>
                <w:numId w:val="7"/>
              </w:numPr>
              <w:spacing w:after="60"/>
              <w:ind w:left="393"/>
              <w:jc w:val="left"/>
              <w:rPr>
                <w:sz w:val="20"/>
                <w:szCs w:val="20"/>
              </w:rPr>
            </w:pPr>
            <w:r>
              <w:rPr>
                <w:sz w:val="20"/>
                <w:szCs w:val="20"/>
              </w:rPr>
              <w:t>Marshall Islands Police Department</w:t>
            </w:r>
          </w:p>
          <w:p w14:paraId="31DF3DA3" w14:textId="77777777" w:rsidR="004834F4" w:rsidRPr="00710373" w:rsidRDefault="004834F4" w:rsidP="00FF70B5">
            <w:pPr>
              <w:pStyle w:val="ListParagraph"/>
              <w:numPr>
                <w:ilvl w:val="0"/>
                <w:numId w:val="7"/>
              </w:numPr>
              <w:spacing w:after="60"/>
              <w:ind w:left="393"/>
              <w:jc w:val="left"/>
              <w:rPr>
                <w:sz w:val="20"/>
                <w:szCs w:val="20"/>
              </w:rPr>
            </w:pPr>
            <w:r>
              <w:rPr>
                <w:sz w:val="20"/>
                <w:szCs w:val="20"/>
              </w:rPr>
              <w:t>IOM</w:t>
            </w:r>
          </w:p>
          <w:p w14:paraId="5C4C6796" w14:textId="77777777" w:rsidR="004834F4" w:rsidRDefault="004834F4" w:rsidP="00FF70B5">
            <w:pPr>
              <w:pStyle w:val="ListParagraph"/>
              <w:numPr>
                <w:ilvl w:val="0"/>
                <w:numId w:val="7"/>
              </w:numPr>
              <w:spacing w:after="60"/>
              <w:ind w:left="393"/>
              <w:jc w:val="left"/>
              <w:rPr>
                <w:sz w:val="20"/>
                <w:szCs w:val="20"/>
              </w:rPr>
            </w:pPr>
            <w:r w:rsidRPr="00710373">
              <w:rPr>
                <w:sz w:val="20"/>
                <w:szCs w:val="20"/>
              </w:rPr>
              <w:t>Women United Together Marshall Islands (WUTMI)</w:t>
            </w:r>
          </w:p>
          <w:p w14:paraId="00F48E8C" w14:textId="2E78FBF4" w:rsidR="00CC5448" w:rsidRPr="005F5C71" w:rsidRDefault="004834F4" w:rsidP="00FF70B5">
            <w:pPr>
              <w:pStyle w:val="ListParagraph"/>
              <w:numPr>
                <w:ilvl w:val="0"/>
                <w:numId w:val="7"/>
              </w:numPr>
              <w:ind w:left="393"/>
              <w:jc w:val="left"/>
              <w:rPr>
                <w:rFonts w:eastAsia="Calibri" w:cs="Times New Roman"/>
                <w:sz w:val="20"/>
                <w:szCs w:val="20"/>
              </w:rPr>
            </w:pPr>
            <w:r>
              <w:rPr>
                <w:sz w:val="20"/>
                <w:szCs w:val="20"/>
              </w:rPr>
              <w:t>Local government Majuro, Jaluit, Wotje, Arno</w:t>
            </w:r>
          </w:p>
        </w:tc>
        <w:tc>
          <w:tcPr>
            <w:tcW w:w="1343" w:type="dxa"/>
          </w:tcPr>
          <w:p w14:paraId="410D3739" w14:textId="77777777" w:rsidR="00CC5448" w:rsidRPr="005F5C71" w:rsidRDefault="00CC5448" w:rsidP="00F543B2">
            <w:pPr>
              <w:rPr>
                <w:rFonts w:eastAsia="Calibri" w:cs="Times New Roman"/>
                <w:sz w:val="20"/>
                <w:szCs w:val="20"/>
              </w:rPr>
            </w:pPr>
          </w:p>
        </w:tc>
      </w:tr>
      <w:tr w:rsidR="002042A5" w:rsidRPr="00FF70B5" w14:paraId="6C2B6342" w14:textId="77777777" w:rsidTr="00DD3A1A">
        <w:tc>
          <w:tcPr>
            <w:tcW w:w="385" w:type="dxa"/>
          </w:tcPr>
          <w:p w14:paraId="5FFDF341" w14:textId="77777777" w:rsidR="0057631F" w:rsidRPr="00FF70B5" w:rsidRDefault="0057631F" w:rsidP="00FF70B5">
            <w:pPr>
              <w:pStyle w:val="ListParagraph"/>
              <w:numPr>
                <w:ilvl w:val="0"/>
                <w:numId w:val="8"/>
              </w:numPr>
              <w:ind w:left="315" w:hanging="283"/>
              <w:jc w:val="left"/>
              <w:rPr>
                <w:rFonts w:eastAsia="Calibri" w:cs="Times New Roman"/>
                <w:sz w:val="20"/>
                <w:szCs w:val="20"/>
              </w:rPr>
            </w:pPr>
          </w:p>
        </w:tc>
        <w:tc>
          <w:tcPr>
            <w:tcW w:w="1885" w:type="dxa"/>
          </w:tcPr>
          <w:p w14:paraId="678B077C" w14:textId="63CA847C" w:rsidR="0057631F" w:rsidRPr="00FF70B5" w:rsidRDefault="0057631F" w:rsidP="00FF70B5">
            <w:pPr>
              <w:jc w:val="left"/>
              <w:rPr>
                <w:rFonts w:eastAsia="Calibri" w:cs="Times New Roman"/>
                <w:sz w:val="20"/>
                <w:szCs w:val="20"/>
              </w:rPr>
            </w:pPr>
            <w:r w:rsidRPr="00FF70B5">
              <w:rPr>
                <w:rFonts w:eastAsia="Calibri" w:cs="Times New Roman"/>
                <w:sz w:val="20"/>
                <w:szCs w:val="20"/>
              </w:rPr>
              <w:t xml:space="preserve">Component 2.4 a, b, c &amp; d will follow Ports Needs Assessment </w:t>
            </w:r>
            <w:r w:rsidRPr="00FF70B5">
              <w:rPr>
                <w:rFonts w:eastAsia="Calibri" w:cs="Times New Roman"/>
                <w:sz w:val="20"/>
                <w:szCs w:val="20"/>
              </w:rPr>
              <w:lastRenderedPageBreak/>
              <w:t xml:space="preserve">(completion </w:t>
            </w:r>
            <w:r w:rsidR="000A030B" w:rsidRPr="00FF70B5">
              <w:rPr>
                <w:rFonts w:eastAsia="Calibri" w:cs="Times New Roman"/>
                <w:sz w:val="20"/>
                <w:szCs w:val="20"/>
              </w:rPr>
              <w:t>June 2021</w:t>
            </w:r>
            <w:r w:rsidRPr="00FF70B5">
              <w:rPr>
                <w:rFonts w:eastAsia="Calibri" w:cs="Times New Roman"/>
                <w:sz w:val="20"/>
                <w:szCs w:val="20"/>
              </w:rPr>
              <w:t>).</w:t>
            </w:r>
          </w:p>
        </w:tc>
        <w:tc>
          <w:tcPr>
            <w:tcW w:w="1565" w:type="dxa"/>
          </w:tcPr>
          <w:p w14:paraId="5BAAFF81" w14:textId="77777777" w:rsidR="0057631F" w:rsidRPr="00FF70B5" w:rsidRDefault="0057631F" w:rsidP="00FF70B5">
            <w:pPr>
              <w:jc w:val="left"/>
              <w:rPr>
                <w:rFonts w:eastAsia="Calibri" w:cs="Times New Roman"/>
                <w:sz w:val="20"/>
                <w:szCs w:val="20"/>
              </w:rPr>
            </w:pPr>
          </w:p>
        </w:tc>
        <w:tc>
          <w:tcPr>
            <w:tcW w:w="1931" w:type="dxa"/>
          </w:tcPr>
          <w:p w14:paraId="4A18E170" w14:textId="77777777" w:rsidR="0057631F" w:rsidRPr="00FF70B5" w:rsidRDefault="0057631F" w:rsidP="00FF70B5">
            <w:pPr>
              <w:jc w:val="left"/>
              <w:rPr>
                <w:rFonts w:eastAsia="Calibri" w:cs="Times New Roman"/>
                <w:sz w:val="20"/>
                <w:szCs w:val="20"/>
              </w:rPr>
            </w:pPr>
          </w:p>
        </w:tc>
        <w:tc>
          <w:tcPr>
            <w:tcW w:w="1732" w:type="dxa"/>
          </w:tcPr>
          <w:p w14:paraId="378D5CE8" w14:textId="77777777" w:rsidR="0057631F" w:rsidRPr="00FF70B5" w:rsidRDefault="0057631F" w:rsidP="00FF70B5">
            <w:pPr>
              <w:jc w:val="left"/>
              <w:rPr>
                <w:rFonts w:eastAsia="Calibri" w:cs="Times New Roman"/>
                <w:sz w:val="20"/>
                <w:szCs w:val="20"/>
              </w:rPr>
            </w:pPr>
          </w:p>
        </w:tc>
        <w:tc>
          <w:tcPr>
            <w:tcW w:w="1279" w:type="dxa"/>
          </w:tcPr>
          <w:p w14:paraId="4531F43E" w14:textId="77777777" w:rsidR="0057631F" w:rsidRPr="00FF70B5" w:rsidRDefault="0057631F" w:rsidP="00FF70B5">
            <w:pPr>
              <w:jc w:val="left"/>
              <w:rPr>
                <w:rFonts w:eastAsia="Calibri" w:cs="Times New Roman"/>
                <w:sz w:val="20"/>
                <w:szCs w:val="20"/>
              </w:rPr>
            </w:pPr>
          </w:p>
        </w:tc>
        <w:tc>
          <w:tcPr>
            <w:tcW w:w="1893" w:type="dxa"/>
          </w:tcPr>
          <w:p w14:paraId="2873BEB3" w14:textId="77777777" w:rsidR="0057631F" w:rsidRPr="00FF70B5" w:rsidRDefault="0057631F" w:rsidP="00FF70B5">
            <w:pPr>
              <w:jc w:val="left"/>
              <w:rPr>
                <w:rFonts w:eastAsia="Calibri" w:cs="Times New Roman"/>
                <w:sz w:val="20"/>
                <w:szCs w:val="20"/>
              </w:rPr>
            </w:pPr>
          </w:p>
        </w:tc>
        <w:tc>
          <w:tcPr>
            <w:tcW w:w="2163" w:type="dxa"/>
          </w:tcPr>
          <w:p w14:paraId="7B679A23" w14:textId="77777777" w:rsidR="0057631F" w:rsidRPr="00FF70B5" w:rsidRDefault="0057631F" w:rsidP="00FF70B5">
            <w:pPr>
              <w:jc w:val="left"/>
              <w:rPr>
                <w:rFonts w:eastAsia="Calibri" w:cs="Times New Roman"/>
                <w:sz w:val="20"/>
                <w:szCs w:val="20"/>
              </w:rPr>
            </w:pPr>
          </w:p>
        </w:tc>
        <w:tc>
          <w:tcPr>
            <w:tcW w:w="1343" w:type="dxa"/>
          </w:tcPr>
          <w:p w14:paraId="50912AFF" w14:textId="77777777" w:rsidR="0057631F" w:rsidRPr="00FF70B5" w:rsidRDefault="0057631F" w:rsidP="00FF70B5">
            <w:pPr>
              <w:jc w:val="left"/>
              <w:rPr>
                <w:rFonts w:eastAsia="Calibri" w:cs="Times New Roman"/>
                <w:sz w:val="20"/>
                <w:szCs w:val="20"/>
              </w:rPr>
            </w:pPr>
          </w:p>
        </w:tc>
      </w:tr>
      <w:tr w:rsidR="007B611C" w:rsidRPr="00FF70B5" w14:paraId="079BBE5A" w14:textId="77777777" w:rsidTr="00DD3A1A">
        <w:tc>
          <w:tcPr>
            <w:tcW w:w="385" w:type="dxa"/>
          </w:tcPr>
          <w:p w14:paraId="5C9E53B6" w14:textId="77777777" w:rsidR="007B611C" w:rsidRPr="00FF70B5" w:rsidRDefault="007B611C" w:rsidP="00FF70B5">
            <w:pPr>
              <w:pStyle w:val="ListParagraph"/>
              <w:numPr>
                <w:ilvl w:val="0"/>
                <w:numId w:val="8"/>
              </w:numPr>
              <w:ind w:left="315" w:hanging="283"/>
              <w:jc w:val="left"/>
              <w:rPr>
                <w:rFonts w:eastAsia="Calibri" w:cs="Times New Roman"/>
                <w:sz w:val="20"/>
                <w:szCs w:val="20"/>
              </w:rPr>
            </w:pPr>
          </w:p>
        </w:tc>
        <w:tc>
          <w:tcPr>
            <w:tcW w:w="1885" w:type="dxa"/>
          </w:tcPr>
          <w:p w14:paraId="40FE55F1" w14:textId="3F38F62F" w:rsidR="007B611C" w:rsidRPr="00FF70B5" w:rsidRDefault="007B611C" w:rsidP="00FF70B5">
            <w:pPr>
              <w:ind w:left="-63"/>
              <w:jc w:val="left"/>
              <w:rPr>
                <w:rFonts w:eastAsia="Calibri" w:cs="Times New Roman"/>
                <w:sz w:val="20"/>
                <w:szCs w:val="20"/>
              </w:rPr>
            </w:pPr>
            <w:r w:rsidRPr="00FF70B5">
              <w:rPr>
                <w:rFonts w:eastAsia="Calibri" w:cs="Times New Roman"/>
                <w:sz w:val="20"/>
                <w:szCs w:val="20"/>
              </w:rPr>
              <w:t>Lease discussions for port</w:t>
            </w:r>
            <w:r w:rsidR="00FC7555" w:rsidRPr="00FF70B5">
              <w:rPr>
                <w:rFonts w:eastAsia="Calibri" w:cs="Times New Roman"/>
                <w:sz w:val="20"/>
                <w:szCs w:val="20"/>
              </w:rPr>
              <w:t xml:space="preserve"> upgrade-related land</w:t>
            </w:r>
            <w:r w:rsidRPr="00FF70B5">
              <w:rPr>
                <w:rFonts w:eastAsia="Calibri" w:cs="Times New Roman"/>
                <w:sz w:val="20"/>
                <w:szCs w:val="20"/>
              </w:rPr>
              <w:t>s</w:t>
            </w:r>
          </w:p>
        </w:tc>
        <w:tc>
          <w:tcPr>
            <w:tcW w:w="1565" w:type="dxa"/>
          </w:tcPr>
          <w:p w14:paraId="7833DCCF" w14:textId="28A03897" w:rsidR="007B611C" w:rsidRPr="00FF70B5" w:rsidRDefault="00FC7555" w:rsidP="00FF70B5">
            <w:pPr>
              <w:jc w:val="left"/>
              <w:rPr>
                <w:rFonts w:eastAsia="Calibri" w:cs="Times New Roman"/>
                <w:sz w:val="20"/>
                <w:szCs w:val="20"/>
              </w:rPr>
            </w:pPr>
            <w:r w:rsidRPr="00FF70B5">
              <w:rPr>
                <w:rFonts w:eastAsia="Calibri" w:cs="Times New Roman"/>
                <w:sz w:val="20"/>
                <w:szCs w:val="20"/>
              </w:rPr>
              <w:t>To ensure appropriate engagement with landowners and parties associated with land on which ports are located</w:t>
            </w:r>
          </w:p>
        </w:tc>
        <w:tc>
          <w:tcPr>
            <w:tcW w:w="1931" w:type="dxa"/>
          </w:tcPr>
          <w:p w14:paraId="58464218" w14:textId="4E3DCDA0" w:rsidR="007B611C" w:rsidRPr="00FF70B5" w:rsidRDefault="00FC7555" w:rsidP="00FF70B5">
            <w:pPr>
              <w:jc w:val="left"/>
              <w:rPr>
                <w:rFonts w:eastAsia="Calibri" w:cs="Times New Roman"/>
                <w:sz w:val="20"/>
                <w:szCs w:val="20"/>
              </w:rPr>
            </w:pPr>
            <w:r w:rsidRPr="00FF70B5">
              <w:rPr>
                <w:rFonts w:eastAsia="Calibri" w:cs="Times New Roman"/>
                <w:sz w:val="20"/>
                <w:szCs w:val="20"/>
              </w:rPr>
              <w:t>Face to face meetings with landowners and adjacent la</w:t>
            </w:r>
            <w:r w:rsidR="00FF70B5">
              <w:rPr>
                <w:rFonts w:eastAsia="Calibri" w:cs="Times New Roman"/>
                <w:sz w:val="20"/>
                <w:szCs w:val="20"/>
              </w:rPr>
              <w:t>nd</w:t>
            </w:r>
            <w:r w:rsidRPr="00FF70B5">
              <w:rPr>
                <w:rFonts w:eastAsia="Calibri" w:cs="Times New Roman"/>
                <w:sz w:val="20"/>
                <w:szCs w:val="20"/>
              </w:rPr>
              <w:t xml:space="preserve"> users.</w:t>
            </w:r>
          </w:p>
          <w:p w14:paraId="78AADE5E" w14:textId="0F70892F" w:rsidR="00FC7555" w:rsidRPr="00FF70B5" w:rsidRDefault="00FC7555" w:rsidP="00FF70B5">
            <w:pPr>
              <w:jc w:val="left"/>
              <w:rPr>
                <w:rFonts w:eastAsia="Calibri" w:cs="Times New Roman"/>
                <w:sz w:val="20"/>
                <w:szCs w:val="20"/>
              </w:rPr>
            </w:pPr>
            <w:r w:rsidRPr="00FF70B5">
              <w:rPr>
                <w:rFonts w:eastAsia="Calibri" w:cs="Times New Roman"/>
                <w:sz w:val="20"/>
                <w:szCs w:val="20"/>
              </w:rPr>
              <w:t>Provide written outline of rights of parties being consulted.</w:t>
            </w:r>
          </w:p>
        </w:tc>
        <w:tc>
          <w:tcPr>
            <w:tcW w:w="1732" w:type="dxa"/>
          </w:tcPr>
          <w:p w14:paraId="4E21AF03" w14:textId="0D616F24" w:rsidR="007B611C" w:rsidRPr="00FF70B5" w:rsidRDefault="00FC7555" w:rsidP="00FF70B5">
            <w:pPr>
              <w:jc w:val="left"/>
              <w:rPr>
                <w:rFonts w:eastAsia="Calibri" w:cs="Times New Roman"/>
                <w:sz w:val="20"/>
                <w:szCs w:val="20"/>
              </w:rPr>
            </w:pPr>
            <w:r w:rsidRPr="00FF70B5">
              <w:rPr>
                <w:rFonts w:eastAsia="Calibri" w:cs="Times New Roman"/>
                <w:sz w:val="20"/>
                <w:szCs w:val="20"/>
              </w:rPr>
              <w:t>Initial introductory meeting and follow-up as required by stakeholders.</w:t>
            </w:r>
          </w:p>
        </w:tc>
        <w:tc>
          <w:tcPr>
            <w:tcW w:w="1279" w:type="dxa"/>
          </w:tcPr>
          <w:p w14:paraId="7D43F175" w14:textId="00A412DE" w:rsidR="007B611C" w:rsidRPr="00FF70B5" w:rsidRDefault="00FC7555" w:rsidP="00FF70B5">
            <w:pPr>
              <w:jc w:val="left"/>
              <w:rPr>
                <w:rFonts w:eastAsia="Calibri" w:cs="Times New Roman"/>
                <w:sz w:val="20"/>
                <w:szCs w:val="20"/>
              </w:rPr>
            </w:pPr>
            <w:r w:rsidRPr="00FF70B5">
              <w:rPr>
                <w:rFonts w:eastAsia="Calibri" w:cs="Times New Roman"/>
                <w:sz w:val="20"/>
                <w:szCs w:val="20"/>
              </w:rPr>
              <w:t>Q2 – Q4 2021</w:t>
            </w:r>
          </w:p>
        </w:tc>
        <w:tc>
          <w:tcPr>
            <w:tcW w:w="1893" w:type="dxa"/>
          </w:tcPr>
          <w:p w14:paraId="329320DF" w14:textId="25251BFE" w:rsidR="007B611C" w:rsidRPr="00FF70B5" w:rsidRDefault="00FC7555" w:rsidP="00FF70B5">
            <w:pPr>
              <w:jc w:val="left"/>
              <w:rPr>
                <w:rFonts w:eastAsia="Calibri" w:cs="Times New Roman"/>
                <w:sz w:val="20"/>
                <w:szCs w:val="20"/>
              </w:rPr>
            </w:pPr>
            <w:r w:rsidRPr="00FF70B5">
              <w:rPr>
                <w:rFonts w:eastAsia="Calibri" w:cs="Times New Roman"/>
                <w:sz w:val="20"/>
                <w:szCs w:val="20"/>
              </w:rPr>
              <w:t>MIMIP Project Manager with support from CIU Safeguards</w:t>
            </w:r>
          </w:p>
        </w:tc>
        <w:tc>
          <w:tcPr>
            <w:tcW w:w="2163" w:type="dxa"/>
          </w:tcPr>
          <w:p w14:paraId="7DFEF683" w14:textId="0128FB87" w:rsidR="00FC7555" w:rsidRPr="00FF70B5" w:rsidRDefault="00FC7555" w:rsidP="00FF70B5">
            <w:pPr>
              <w:pStyle w:val="ListParagraph"/>
              <w:numPr>
                <w:ilvl w:val="0"/>
                <w:numId w:val="7"/>
              </w:numPr>
              <w:ind w:left="391" w:hanging="326"/>
              <w:jc w:val="left"/>
              <w:rPr>
                <w:rFonts w:eastAsia="Calibri" w:cs="Times New Roman"/>
                <w:sz w:val="20"/>
                <w:szCs w:val="20"/>
              </w:rPr>
            </w:pPr>
            <w:r w:rsidRPr="00FF70B5">
              <w:rPr>
                <w:rFonts w:eastAsia="Calibri" w:cs="Times New Roman"/>
                <w:sz w:val="20"/>
                <w:szCs w:val="20"/>
              </w:rPr>
              <w:t>Landowners</w:t>
            </w:r>
          </w:p>
          <w:p w14:paraId="5160DF28" w14:textId="2CBC4BBA" w:rsidR="007B611C" w:rsidRPr="00FF70B5" w:rsidRDefault="00FC7555" w:rsidP="00FF70B5">
            <w:pPr>
              <w:pStyle w:val="ListParagraph"/>
              <w:numPr>
                <w:ilvl w:val="0"/>
                <w:numId w:val="7"/>
              </w:numPr>
              <w:ind w:left="391" w:hanging="326"/>
              <w:jc w:val="left"/>
              <w:rPr>
                <w:rFonts w:eastAsia="Calibri" w:cs="Times New Roman"/>
                <w:sz w:val="20"/>
                <w:szCs w:val="20"/>
              </w:rPr>
            </w:pPr>
            <w:r w:rsidRPr="00FF70B5">
              <w:rPr>
                <w:rFonts w:eastAsia="Calibri" w:cs="Times New Roman"/>
                <w:sz w:val="20"/>
                <w:szCs w:val="20"/>
              </w:rPr>
              <w:t>parties associated with land on which ports are located</w:t>
            </w:r>
          </w:p>
        </w:tc>
        <w:tc>
          <w:tcPr>
            <w:tcW w:w="1343" w:type="dxa"/>
          </w:tcPr>
          <w:p w14:paraId="0C5DDAB3" w14:textId="64652E9C" w:rsidR="007B611C" w:rsidRPr="00FF70B5" w:rsidRDefault="00FC7555" w:rsidP="00FF70B5">
            <w:pPr>
              <w:jc w:val="left"/>
              <w:rPr>
                <w:rFonts w:eastAsia="Calibri" w:cs="Times New Roman"/>
                <w:sz w:val="20"/>
                <w:szCs w:val="20"/>
              </w:rPr>
            </w:pPr>
            <w:r w:rsidRPr="00FF70B5">
              <w:rPr>
                <w:rFonts w:eastAsia="Calibri" w:cs="Times New Roman"/>
                <w:sz w:val="20"/>
                <w:szCs w:val="20"/>
              </w:rPr>
              <w:t>Underway</w:t>
            </w:r>
          </w:p>
        </w:tc>
      </w:tr>
    </w:tbl>
    <w:p w14:paraId="58BF9B1E" w14:textId="77777777" w:rsidR="00C1045B" w:rsidRPr="00FF70B5" w:rsidRDefault="00C1045B" w:rsidP="00FF70B5">
      <w:pPr>
        <w:jc w:val="left"/>
        <w:rPr>
          <w:rFonts w:eastAsia="Times New Roman" w:cstheme="majorBidi"/>
          <w:color w:val="2E74B5" w:themeColor="accent1" w:themeShade="BF"/>
          <w:sz w:val="20"/>
          <w:szCs w:val="20"/>
        </w:rPr>
      </w:pPr>
    </w:p>
    <w:sectPr w:rsidR="00C1045B" w:rsidRPr="00FF70B5" w:rsidSect="00F24700">
      <w:headerReference w:type="default" r:id="rId15"/>
      <w:footerReference w:type="default" r:id="rId16"/>
      <w:pgSz w:w="15840" w:h="12240" w:orient="landscape" w:code="1"/>
      <w:pgMar w:top="1134" w:right="226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AC0C" w14:textId="77777777" w:rsidR="00837A97" w:rsidRDefault="00837A97" w:rsidP="00F5776C">
      <w:pPr>
        <w:spacing w:after="0"/>
      </w:pPr>
      <w:r>
        <w:separator/>
      </w:r>
    </w:p>
  </w:endnote>
  <w:endnote w:type="continuationSeparator" w:id="0">
    <w:p w14:paraId="31569415" w14:textId="77777777" w:rsidR="00837A97" w:rsidRDefault="00837A97" w:rsidP="00F57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F760" w14:textId="68257486" w:rsidR="00C134A6" w:rsidRDefault="00C134A6" w:rsidP="001F7C29">
    <w:pPr>
      <w:pStyle w:val="Footer"/>
      <w:pBdr>
        <w:top w:val="single" w:sz="4" w:space="1" w:color="auto"/>
      </w:pBdr>
      <w:tabs>
        <w:tab w:val="clear" w:pos="451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BC77" w14:textId="34B7BC0D" w:rsidR="00C134A6" w:rsidRDefault="00C134A6" w:rsidP="001F7C29">
    <w:pPr>
      <w:pStyle w:val="Footer"/>
      <w:pBdr>
        <w:top w:val="single" w:sz="4" w:space="1" w:color="auto"/>
      </w:pBdr>
      <w:tabs>
        <w:tab w:val="clear" w:pos="4513"/>
      </w:tabs>
    </w:pPr>
    <w:r>
      <w:tab/>
    </w: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FC69" w14:textId="3AD2669F" w:rsidR="00C134A6" w:rsidRDefault="00C134A6" w:rsidP="00524A7D">
    <w:pPr>
      <w:pStyle w:val="Footer"/>
      <w:pBdr>
        <w:top w:val="single" w:sz="4" w:space="1" w:color="auto"/>
      </w:pBdr>
      <w:tabs>
        <w:tab w:val="clear" w:pos="4513"/>
        <w:tab w:val="clear" w:pos="9026"/>
        <w:tab w:val="right" w:pos="13892"/>
      </w:tabs>
    </w:pPr>
    <w:r>
      <w:tab/>
    </w: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B30D" w14:textId="77777777" w:rsidR="00C134A6" w:rsidRDefault="00C134A6" w:rsidP="001F7C29">
    <w:pPr>
      <w:pStyle w:val="Footer"/>
      <w:pBdr>
        <w:top w:val="single" w:sz="4" w:space="1" w:color="auto"/>
      </w:pBdr>
      <w:tabs>
        <w:tab w:val="clear" w:pos="4513"/>
      </w:tabs>
    </w:pPr>
    <w:r>
      <w:t>Version 1</w:t>
    </w:r>
    <w:r>
      <w:tab/>
    </w: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B3F6" w14:textId="35D6789C" w:rsidR="00C134A6" w:rsidRDefault="00C134A6" w:rsidP="001F7C29">
    <w:pPr>
      <w:pStyle w:val="Footer"/>
      <w:pBdr>
        <w:top w:val="single" w:sz="4" w:space="1" w:color="auto"/>
      </w:pBdr>
      <w:tabs>
        <w:tab w:val="clear" w:pos="4513"/>
        <w:tab w:val="clear" w:pos="9026"/>
        <w:tab w:val="right" w:pos="13892"/>
      </w:tabs>
      <w:ind w:right="-1454"/>
    </w:pPr>
    <w:r>
      <w:tab/>
    </w: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6D30" w14:textId="77777777" w:rsidR="00837A97" w:rsidRDefault="00837A97" w:rsidP="00F5776C">
      <w:pPr>
        <w:spacing w:after="0"/>
      </w:pPr>
      <w:r>
        <w:separator/>
      </w:r>
    </w:p>
  </w:footnote>
  <w:footnote w:type="continuationSeparator" w:id="0">
    <w:p w14:paraId="599A5E87" w14:textId="77777777" w:rsidR="00837A97" w:rsidRDefault="00837A97" w:rsidP="00F5776C">
      <w:pPr>
        <w:spacing w:after="0"/>
      </w:pPr>
      <w:r>
        <w:continuationSeparator/>
      </w:r>
    </w:p>
  </w:footnote>
  <w:footnote w:id="1">
    <w:p w14:paraId="4BB61B3D" w14:textId="22BC9FF2" w:rsidR="00C134A6" w:rsidRDefault="00C134A6">
      <w:pPr>
        <w:pStyle w:val="FootnoteText"/>
        <w:rPr>
          <w:sz w:val="18"/>
          <w:szCs w:val="18"/>
        </w:rPr>
      </w:pPr>
      <w:r w:rsidRPr="00961256">
        <w:rPr>
          <w:rStyle w:val="FootnoteReference"/>
          <w:sz w:val="18"/>
          <w:szCs w:val="18"/>
        </w:rPr>
        <w:footnoteRef/>
      </w:r>
      <w:r w:rsidRPr="00961256">
        <w:rPr>
          <w:sz w:val="18"/>
          <w:szCs w:val="18"/>
        </w:rPr>
        <w:t xml:space="preserve"> </w:t>
      </w:r>
      <w:r w:rsidRPr="00961256">
        <w:rPr>
          <w:sz w:val="18"/>
          <w:szCs w:val="18"/>
          <w:lang w:val="en-US"/>
        </w:rPr>
        <w:t>See MIMIP Environmental and Social Management Framework 2019</w:t>
      </w:r>
      <w:r w:rsidR="0040136D">
        <w:rPr>
          <w:sz w:val="18"/>
          <w:szCs w:val="18"/>
          <w:lang w:val="en-US"/>
        </w:rPr>
        <w:t xml:space="preserve">, </w:t>
      </w:r>
      <w:r w:rsidRPr="00961256">
        <w:rPr>
          <w:sz w:val="18"/>
          <w:szCs w:val="18"/>
          <w:lang w:val="en-US"/>
        </w:rPr>
        <w:t xml:space="preserve"> </w:t>
      </w:r>
      <w:hyperlink r:id="rId1" w:history="1">
        <w:r w:rsidR="0040136D" w:rsidRPr="005E7476">
          <w:rPr>
            <w:rStyle w:val="Hyperlink"/>
            <w:sz w:val="18"/>
            <w:szCs w:val="18"/>
          </w:rPr>
          <w:t>https://www.ciudidasafeguards.com/</w:t>
        </w:r>
      </w:hyperlink>
    </w:p>
    <w:p w14:paraId="1917853B" w14:textId="77777777" w:rsidR="0040136D" w:rsidRPr="00961256" w:rsidRDefault="0040136D">
      <w:pPr>
        <w:pStyle w:val="FootnoteText"/>
        <w:rPr>
          <w:sz w:val="18"/>
          <w:szCs w:val="18"/>
          <w:lang w:val="en-US"/>
        </w:rPr>
      </w:pPr>
    </w:p>
  </w:footnote>
  <w:footnote w:id="2">
    <w:p w14:paraId="6110405E" w14:textId="594735AB" w:rsidR="00C134A6" w:rsidRPr="00961256" w:rsidRDefault="00C134A6" w:rsidP="002E1758">
      <w:pPr>
        <w:pStyle w:val="BodyText"/>
        <w:rPr>
          <w:sz w:val="18"/>
          <w:szCs w:val="18"/>
        </w:rPr>
      </w:pPr>
      <w:r w:rsidRPr="00961256">
        <w:rPr>
          <w:rStyle w:val="FootnoteReference"/>
          <w:sz w:val="18"/>
          <w:szCs w:val="18"/>
        </w:rPr>
        <w:footnoteRef/>
      </w:r>
      <w:r w:rsidRPr="00961256">
        <w:rPr>
          <w:sz w:val="18"/>
          <w:szCs w:val="18"/>
        </w:rPr>
        <w:t xml:space="preserve"> Refer Paragraph 8 of MIMIP PAD: “There is a significant volume of scrap lying in the yard, in the form of old containers, tires, vehicles, boats and equipment, all of which will need to be moved, or preferably removed, prior to the commencement of surfacing works.  Cutting up, safe removal and export of the scrap as a separate contract should be considered.”</w:t>
      </w:r>
    </w:p>
    <w:p w14:paraId="57439A7A" w14:textId="69269FA1" w:rsidR="00C134A6" w:rsidRPr="00F24700" w:rsidRDefault="00C134A6">
      <w:pPr>
        <w:pStyle w:val="FootnoteText"/>
        <w:rPr>
          <w:lang w:val="en-US"/>
        </w:rPr>
      </w:pPr>
      <w:r>
        <w:rPr>
          <w:lang w:val="en-US"/>
        </w:rPr>
        <w:t>“</w:t>
      </w:r>
    </w:p>
  </w:footnote>
  <w:footnote w:id="3">
    <w:p w14:paraId="2E8E38F9" w14:textId="3D80A896" w:rsidR="0040136D" w:rsidRPr="0040136D" w:rsidRDefault="0040136D">
      <w:pPr>
        <w:pStyle w:val="FootnoteText"/>
        <w:rPr>
          <w:sz w:val="16"/>
          <w:szCs w:val="16"/>
        </w:rPr>
      </w:pPr>
      <w:r w:rsidRPr="0040136D">
        <w:rPr>
          <w:rStyle w:val="FootnoteReference"/>
          <w:sz w:val="16"/>
          <w:szCs w:val="16"/>
        </w:rPr>
        <w:footnoteRef/>
      </w:r>
      <w:r w:rsidRPr="0040136D">
        <w:rPr>
          <w:sz w:val="16"/>
          <w:szCs w:val="16"/>
        </w:rPr>
        <w:t xml:space="preserve">  The MIMIP Grievance Redress Mechanism can be access on </w:t>
      </w:r>
      <w:hyperlink r:id="rId2" w:history="1">
        <w:r w:rsidRPr="0040136D">
          <w:rPr>
            <w:rStyle w:val="Hyperlink"/>
            <w:sz w:val="16"/>
            <w:szCs w:val="16"/>
          </w:rPr>
          <w:t>https://www.ciudidasafeguards.com/</w:t>
        </w:r>
      </w:hyperlink>
    </w:p>
    <w:p w14:paraId="338779E2" w14:textId="77777777" w:rsidR="0040136D" w:rsidRPr="0040136D" w:rsidRDefault="0040136D">
      <w:pPr>
        <w:pStyle w:val="FootnoteText"/>
        <w:rPr>
          <w:lang w:val="en-US"/>
        </w:rPr>
      </w:pPr>
    </w:p>
  </w:footnote>
  <w:footnote w:id="4">
    <w:p w14:paraId="3A0EA6FE" w14:textId="77777777" w:rsidR="00C134A6" w:rsidRPr="0040136D" w:rsidRDefault="00C134A6" w:rsidP="0040136D">
      <w:pPr>
        <w:rPr>
          <w:sz w:val="16"/>
          <w:szCs w:val="16"/>
        </w:rPr>
      </w:pPr>
      <w:r w:rsidRPr="0040136D">
        <w:rPr>
          <w:rStyle w:val="FootnoteReference"/>
          <w:sz w:val="16"/>
          <w:szCs w:val="16"/>
        </w:rPr>
        <w:footnoteRef/>
      </w:r>
      <w:r w:rsidRPr="0040136D">
        <w:rPr>
          <w:sz w:val="16"/>
          <w:szCs w:val="16"/>
        </w:rPr>
        <w:t xml:space="preserve"> World Bank 2015. World Bank Group Gender Strategy (FY16-23</w:t>
      </w:r>
      <w:proofErr w:type="gramStart"/>
      <w:r w:rsidRPr="0040136D">
        <w:rPr>
          <w:sz w:val="16"/>
          <w:szCs w:val="16"/>
        </w:rPr>
        <w:t>) :</w:t>
      </w:r>
      <w:proofErr w:type="gramEnd"/>
      <w:r w:rsidRPr="0040136D">
        <w:rPr>
          <w:sz w:val="16"/>
          <w:szCs w:val="16"/>
        </w:rPr>
        <w:t xml:space="preserve"> Gender Equality, Poverty Reduction and Inclusive Growth. Washington, DC</w:t>
      </w:r>
    </w:p>
    <w:p w14:paraId="5F294047" w14:textId="77777777" w:rsidR="00C134A6" w:rsidRDefault="00C134A6" w:rsidP="001A46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23B6" w14:textId="7D2D94BC" w:rsidR="00C134A6" w:rsidRPr="0040136D" w:rsidRDefault="00C134A6" w:rsidP="0040136D">
    <w:pPr>
      <w:pStyle w:val="Header"/>
      <w:pBdr>
        <w:bottom w:val="single" w:sz="4" w:space="1" w:color="auto"/>
      </w:pBdr>
      <w:ind w:right="-589"/>
      <w:rPr>
        <w:sz w:val="18"/>
        <w:szCs w:val="18"/>
      </w:rPr>
    </w:pPr>
    <w:r w:rsidRPr="0040136D">
      <w:rPr>
        <w:sz w:val="18"/>
        <w:szCs w:val="18"/>
      </w:rPr>
      <w:t>MIMIP Stakeholder Engagement Action Plan</w:t>
    </w:r>
    <w:r w:rsidRPr="0040136D">
      <w:rPr>
        <w:sz w:val="18"/>
        <w:szCs w:val="18"/>
      </w:rPr>
      <w:tab/>
    </w:r>
    <w:r w:rsidRPr="0040136D">
      <w:rPr>
        <w:sz w:val="18"/>
        <w:szCs w:val="18"/>
      </w:rPr>
      <w:tab/>
      <w:t>Period: April 202</w:t>
    </w:r>
    <w:r w:rsidR="00C06502">
      <w:rPr>
        <w:sz w:val="18"/>
        <w:szCs w:val="18"/>
      </w:rPr>
      <w:t>2</w:t>
    </w:r>
    <w:r w:rsidRPr="0040136D">
      <w:rPr>
        <w:sz w:val="18"/>
        <w:szCs w:val="18"/>
      </w:rPr>
      <w:t xml:space="preserve"> to April 202</w:t>
    </w:r>
    <w:r w:rsidR="00C06502">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CC59" w14:textId="77777777" w:rsidR="00C134A6" w:rsidRPr="0062689C" w:rsidRDefault="00C134A6" w:rsidP="00807F1E">
    <w:pPr>
      <w:pStyle w:val="Header"/>
      <w:pBdr>
        <w:bottom w:val="single" w:sz="4" w:space="1" w:color="auto"/>
      </w:pBdr>
      <w:tabs>
        <w:tab w:val="clear" w:pos="9026"/>
        <w:tab w:val="right" w:pos="13892"/>
      </w:tabs>
    </w:pPr>
    <w:r>
      <w:t>MIMIP Stakeholder Engagement Action Plan</w:t>
    </w:r>
    <w:r>
      <w:tab/>
    </w:r>
    <w:r>
      <w:tab/>
      <w:t>Period: July 2020 to July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13D0" w14:textId="77777777" w:rsidR="00C134A6" w:rsidRPr="0062689C" w:rsidRDefault="00C134A6" w:rsidP="00F24700">
    <w:pPr>
      <w:pStyle w:val="Header"/>
      <w:pBdr>
        <w:bottom w:val="single" w:sz="4" w:space="1" w:color="auto"/>
      </w:pBdr>
    </w:pPr>
    <w:r>
      <w:t>MIMIP Stakeholder Engagement Action Plan</w:t>
    </w:r>
    <w:r>
      <w:tab/>
    </w:r>
    <w:r>
      <w:tab/>
      <w:t>Period: July 2020 to July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3DDB" w14:textId="77777777" w:rsidR="00C134A6" w:rsidRPr="0062689C" w:rsidRDefault="00C134A6" w:rsidP="001F7C29">
    <w:pPr>
      <w:pStyle w:val="Header"/>
      <w:pBdr>
        <w:bottom w:val="single" w:sz="4" w:space="1" w:color="auto"/>
      </w:pBdr>
      <w:tabs>
        <w:tab w:val="clear" w:pos="9026"/>
        <w:tab w:val="right" w:pos="13892"/>
      </w:tabs>
      <w:ind w:right="-1454"/>
    </w:pPr>
    <w:r>
      <w:t>MIMIP Stakeholder Engagement Action Plan</w:t>
    </w:r>
    <w:r>
      <w:tab/>
    </w:r>
    <w:r>
      <w:tab/>
      <w:t>Period: July 2020 to 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EED"/>
    <w:multiLevelType w:val="hybridMultilevel"/>
    <w:tmpl w:val="5BF075D8"/>
    <w:lvl w:ilvl="0" w:tplc="404627F2">
      <w:start w:val="1"/>
      <w:numFmt w:val="lowerRoman"/>
      <w:lvlText w:val="%1)"/>
      <w:lvlJc w:val="left"/>
      <w:pPr>
        <w:ind w:left="786" w:hanging="360"/>
      </w:pPr>
      <w:rPr>
        <w:rFonts w:ascii="Arial Narrow" w:eastAsia="Times New Roman" w:hAnsi="Arial Narrow" w:cs="Arial"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E5B8B"/>
    <w:multiLevelType w:val="hybridMultilevel"/>
    <w:tmpl w:val="189A45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DF2C79"/>
    <w:multiLevelType w:val="hybridMultilevel"/>
    <w:tmpl w:val="ABC4F4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909AF"/>
    <w:multiLevelType w:val="hybridMultilevel"/>
    <w:tmpl w:val="7EFE3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1218B"/>
    <w:multiLevelType w:val="hybridMultilevel"/>
    <w:tmpl w:val="132CE348"/>
    <w:lvl w:ilvl="0" w:tplc="0C090019">
      <w:start w:val="1"/>
      <w:numFmt w:val="lowerLetter"/>
      <w:lvlText w:val="%1."/>
      <w:lvlJc w:val="left"/>
      <w:pPr>
        <w:ind w:left="786" w:hanging="360"/>
      </w:pPr>
      <w:rPr>
        <w:rFonts w:hint="default"/>
        <w:spacing w:val="0"/>
        <w:w w:val="100"/>
        <w:sz w:val="22"/>
        <w:szCs w:val="22"/>
      </w:rPr>
    </w:lvl>
    <w:lvl w:ilvl="1" w:tplc="92868FA0">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F2F5509"/>
    <w:multiLevelType w:val="hybridMultilevel"/>
    <w:tmpl w:val="F7261C22"/>
    <w:lvl w:ilvl="0" w:tplc="844E3086">
      <w:start w:val="1"/>
      <w:numFmt w:val="lowerRoman"/>
      <w:lvlText w:val="%1)"/>
      <w:lvlJc w:val="left"/>
      <w:pPr>
        <w:ind w:left="786" w:hanging="360"/>
      </w:pPr>
      <w:rPr>
        <w:rFonts w:ascii="Arial Narrow" w:eastAsia="Times New Roman" w:hAnsi="Arial Narrow" w:cs="Arial" w:hint="default"/>
        <w:spacing w:val="0"/>
        <w:w w:val="100"/>
        <w:sz w:val="22"/>
        <w:szCs w:val="22"/>
      </w:rPr>
    </w:lvl>
    <w:lvl w:ilvl="1" w:tplc="92868FA0">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62B4C31"/>
    <w:multiLevelType w:val="hybridMultilevel"/>
    <w:tmpl w:val="E97CD4EA"/>
    <w:lvl w:ilvl="0" w:tplc="C34CDB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AB75BF"/>
    <w:multiLevelType w:val="hybridMultilevel"/>
    <w:tmpl w:val="BBA8AA28"/>
    <w:lvl w:ilvl="0" w:tplc="E988937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E5E4C"/>
    <w:multiLevelType w:val="hybridMultilevel"/>
    <w:tmpl w:val="CB504C22"/>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DAD506A"/>
    <w:multiLevelType w:val="hybridMultilevel"/>
    <w:tmpl w:val="3BA8EF08"/>
    <w:lvl w:ilvl="0" w:tplc="404627F2">
      <w:start w:val="1"/>
      <w:numFmt w:val="lowerRoman"/>
      <w:lvlText w:val="%1)"/>
      <w:lvlJc w:val="left"/>
      <w:pPr>
        <w:ind w:left="720" w:hanging="360"/>
      </w:pPr>
      <w:rPr>
        <w:rFonts w:ascii="Arial Narrow" w:eastAsia="Times New Roman" w:hAnsi="Arial Narrow" w:cs="Arial"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B2E72"/>
    <w:multiLevelType w:val="hybridMultilevel"/>
    <w:tmpl w:val="0F0E01B8"/>
    <w:lvl w:ilvl="0" w:tplc="7682D57C">
      <w:start w:val="2"/>
      <w:numFmt w:val="lowerRoman"/>
      <w:lvlText w:val="%1)"/>
      <w:lvlJc w:val="left"/>
      <w:pPr>
        <w:ind w:left="786" w:hanging="360"/>
      </w:pPr>
      <w:rPr>
        <w:rFonts w:ascii="Arial Narrow" w:eastAsia="Times New Roman" w:hAnsi="Arial Narrow" w:cs="Arial"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9648F"/>
    <w:multiLevelType w:val="hybridMultilevel"/>
    <w:tmpl w:val="304EA082"/>
    <w:lvl w:ilvl="0" w:tplc="44090003">
      <w:start w:val="1"/>
      <w:numFmt w:val="bullet"/>
      <w:lvlText w:val="o"/>
      <w:lvlJc w:val="left"/>
      <w:pPr>
        <w:ind w:left="1080" w:hanging="360"/>
      </w:pPr>
      <w:rPr>
        <w:rFonts w:ascii="Courier New" w:hAnsi="Courier New" w:cs="Courier New"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2" w15:restartNumberingAfterBreak="0">
    <w:nsid w:val="467B2252"/>
    <w:multiLevelType w:val="hybridMultilevel"/>
    <w:tmpl w:val="AD284304"/>
    <w:lvl w:ilvl="0" w:tplc="404627F2">
      <w:start w:val="1"/>
      <w:numFmt w:val="lowerRoman"/>
      <w:lvlText w:val="%1)"/>
      <w:lvlJc w:val="left"/>
      <w:pPr>
        <w:ind w:left="786" w:hanging="360"/>
      </w:pPr>
      <w:rPr>
        <w:rFonts w:ascii="Arial Narrow" w:eastAsia="Times New Roman" w:hAnsi="Arial Narrow" w:cs="Arial" w:hint="default"/>
        <w:spacing w:val="0"/>
        <w:w w:val="100"/>
        <w:sz w:val="22"/>
        <w:szCs w:val="22"/>
      </w:rPr>
    </w:lvl>
    <w:lvl w:ilvl="1" w:tplc="92868FA0">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F791AEB"/>
    <w:multiLevelType w:val="hybridMultilevel"/>
    <w:tmpl w:val="3BA8EF08"/>
    <w:lvl w:ilvl="0" w:tplc="404627F2">
      <w:start w:val="1"/>
      <w:numFmt w:val="lowerRoman"/>
      <w:lvlText w:val="%1)"/>
      <w:lvlJc w:val="left"/>
      <w:pPr>
        <w:ind w:left="720" w:hanging="360"/>
      </w:pPr>
      <w:rPr>
        <w:rFonts w:ascii="Arial Narrow" w:eastAsia="Times New Roman" w:hAnsi="Arial Narrow" w:cs="Arial"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644E6"/>
    <w:multiLevelType w:val="hybridMultilevel"/>
    <w:tmpl w:val="62920E36"/>
    <w:lvl w:ilvl="0" w:tplc="3C667FA4">
      <w:start w:val="1"/>
      <w:numFmt w:val="lowerLetter"/>
      <w:lvlText w:val="%1."/>
      <w:lvlJc w:val="left"/>
      <w:pPr>
        <w:ind w:left="360" w:hanging="360"/>
      </w:pPr>
      <w:rPr>
        <w:rFonts w:ascii="Arial Narrow" w:hAnsi="Arial Narrow" w:hint="default"/>
        <w:sz w:val="21"/>
      </w:rPr>
    </w:lvl>
    <w:lvl w:ilvl="1" w:tplc="A0B845A6">
      <w:start w:val="1"/>
      <w:numFmt w:val="decimal"/>
      <w:lvlText w:val="%2."/>
      <w:lvlJc w:val="left"/>
      <w:pPr>
        <w:ind w:left="1080" w:hanging="360"/>
      </w:pPr>
      <w:rPr>
        <w:rFonts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58F78E3"/>
    <w:multiLevelType w:val="hybridMultilevel"/>
    <w:tmpl w:val="0E0C58A8"/>
    <w:lvl w:ilvl="0" w:tplc="F0BC24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E221A"/>
    <w:multiLevelType w:val="hybridMultilevel"/>
    <w:tmpl w:val="EF7CF036"/>
    <w:lvl w:ilvl="0" w:tplc="4BBCF086">
      <w:start w:val="1"/>
      <w:numFmt w:val="lowerRoman"/>
      <w:lvlText w:val="%1)"/>
      <w:lvlJc w:val="left"/>
      <w:pPr>
        <w:ind w:left="720" w:hanging="360"/>
      </w:pPr>
      <w:rPr>
        <w:rFonts w:ascii="Arial Narrow" w:eastAsia="Times New Roman" w:hAnsi="Arial Narrow" w:cs="Arial"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704BC"/>
    <w:multiLevelType w:val="hybridMultilevel"/>
    <w:tmpl w:val="82B4D8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52096"/>
    <w:multiLevelType w:val="hybridMultilevel"/>
    <w:tmpl w:val="EEE6924E"/>
    <w:lvl w:ilvl="0" w:tplc="4266B282">
      <w:start w:val="1"/>
      <w:numFmt w:val="lowerRoman"/>
      <w:lvlText w:val="%1)"/>
      <w:lvlJc w:val="left"/>
      <w:pPr>
        <w:ind w:left="720" w:hanging="360"/>
      </w:pPr>
      <w:rPr>
        <w:rFonts w:ascii="Arial Narrow" w:eastAsia="Times New Roman" w:hAnsi="Arial Narrow" w:cs="Arial" w:hint="default"/>
        <w:spacing w:val="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63430"/>
    <w:multiLevelType w:val="hybridMultilevel"/>
    <w:tmpl w:val="8FE264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52FFF"/>
    <w:multiLevelType w:val="multilevel"/>
    <w:tmpl w:val="2D94E598"/>
    <w:lvl w:ilvl="0">
      <w:start w:val="1"/>
      <w:numFmt w:val="decimal"/>
      <w:pStyle w:val="Heading1"/>
      <w:lvlText w:val="%1."/>
      <w:lvlJc w:val="left"/>
      <w:pPr>
        <w:ind w:left="644" w:hanging="360"/>
      </w:pPr>
      <w:rPr>
        <w:rFonts w:ascii="Arial" w:hAnsi="Arial" w:cs="Arial" w:hint="default"/>
        <w:b/>
        <w:bCs/>
        <w:i w:val="0"/>
        <w:iCs w:val="0"/>
        <w:caps w:val="0"/>
        <w:smallCaps w:val="0"/>
        <w:strike w:val="0"/>
        <w:dstrike w:val="0"/>
        <w:noProof w:val="0"/>
        <w:vanish w:val="0"/>
        <w:color w:val="2F5496" w:themeColor="accent5" w:themeShade="B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16" w:hanging="432"/>
      </w:pPr>
      <w:rPr>
        <w:sz w:val="24"/>
        <w:szCs w:val="24"/>
      </w:rPr>
    </w:lvl>
    <w:lvl w:ilvl="2">
      <w:start w:val="1"/>
      <w:numFmt w:val="decimal"/>
      <w:pStyle w:val="Heading3"/>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1" w15:restartNumberingAfterBreak="0">
    <w:nsid w:val="7FE9527B"/>
    <w:multiLevelType w:val="hybridMultilevel"/>
    <w:tmpl w:val="F7447F76"/>
    <w:lvl w:ilvl="0" w:tplc="404627F2">
      <w:start w:val="1"/>
      <w:numFmt w:val="lowerRoman"/>
      <w:lvlText w:val="%1)"/>
      <w:lvlJc w:val="left"/>
      <w:pPr>
        <w:ind w:left="720" w:hanging="360"/>
      </w:pPr>
      <w:rPr>
        <w:rFonts w:ascii="Arial Narrow" w:eastAsia="Times New Roman" w:hAnsi="Arial Narrow" w:cs="Arial"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367679">
    <w:abstractNumId w:val="14"/>
  </w:num>
  <w:num w:numId="2" w16cid:durableId="98919332">
    <w:abstractNumId w:val="11"/>
  </w:num>
  <w:num w:numId="3" w16cid:durableId="1012950920">
    <w:abstractNumId w:val="20"/>
  </w:num>
  <w:num w:numId="4" w16cid:durableId="215245116">
    <w:abstractNumId w:val="19"/>
  </w:num>
  <w:num w:numId="5" w16cid:durableId="472647479">
    <w:abstractNumId w:val="5"/>
  </w:num>
  <w:num w:numId="6" w16cid:durableId="215629468">
    <w:abstractNumId w:val="8"/>
  </w:num>
  <w:num w:numId="7" w16cid:durableId="392317401">
    <w:abstractNumId w:val="17"/>
  </w:num>
  <w:num w:numId="8" w16cid:durableId="1410729769">
    <w:abstractNumId w:val="15"/>
  </w:num>
  <w:num w:numId="9" w16cid:durableId="451635795">
    <w:abstractNumId w:val="18"/>
  </w:num>
  <w:num w:numId="10" w16cid:durableId="858272653">
    <w:abstractNumId w:val="3"/>
  </w:num>
  <w:num w:numId="11" w16cid:durableId="747113572">
    <w:abstractNumId w:val="1"/>
  </w:num>
  <w:num w:numId="12" w16cid:durableId="820584320">
    <w:abstractNumId w:val="7"/>
  </w:num>
  <w:num w:numId="13" w16cid:durableId="1792085867">
    <w:abstractNumId w:val="6"/>
  </w:num>
  <w:num w:numId="14" w16cid:durableId="279537874">
    <w:abstractNumId w:val="2"/>
  </w:num>
  <w:num w:numId="15" w16cid:durableId="373192675">
    <w:abstractNumId w:val="12"/>
  </w:num>
  <w:num w:numId="16" w16cid:durableId="1865358609">
    <w:abstractNumId w:val="0"/>
  </w:num>
  <w:num w:numId="17" w16cid:durableId="925269493">
    <w:abstractNumId w:val="9"/>
  </w:num>
  <w:num w:numId="18" w16cid:durableId="169150260">
    <w:abstractNumId w:val="13"/>
  </w:num>
  <w:num w:numId="19" w16cid:durableId="1023483480">
    <w:abstractNumId w:val="10"/>
  </w:num>
  <w:num w:numId="20" w16cid:durableId="966086633">
    <w:abstractNumId w:val="21"/>
  </w:num>
  <w:num w:numId="21" w16cid:durableId="1127549801">
    <w:abstractNumId w:val="16"/>
  </w:num>
  <w:num w:numId="22" w16cid:durableId="10874100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5A"/>
    <w:rsid w:val="000113F3"/>
    <w:rsid w:val="00020599"/>
    <w:rsid w:val="00026F06"/>
    <w:rsid w:val="00032FCB"/>
    <w:rsid w:val="0003301E"/>
    <w:rsid w:val="000344CB"/>
    <w:rsid w:val="000361A7"/>
    <w:rsid w:val="0004735D"/>
    <w:rsid w:val="0005405C"/>
    <w:rsid w:val="00061530"/>
    <w:rsid w:val="0006274D"/>
    <w:rsid w:val="00071A00"/>
    <w:rsid w:val="00072D74"/>
    <w:rsid w:val="00074748"/>
    <w:rsid w:val="00096EF6"/>
    <w:rsid w:val="000A030B"/>
    <w:rsid w:val="000B6773"/>
    <w:rsid w:val="000C3A6C"/>
    <w:rsid w:val="000C3EC3"/>
    <w:rsid w:val="000E17FC"/>
    <w:rsid w:val="000E45EC"/>
    <w:rsid w:val="000F04FF"/>
    <w:rsid w:val="000F200B"/>
    <w:rsid w:val="000F509A"/>
    <w:rsid w:val="000F73B4"/>
    <w:rsid w:val="000F766D"/>
    <w:rsid w:val="00100340"/>
    <w:rsid w:val="001004D0"/>
    <w:rsid w:val="001120D4"/>
    <w:rsid w:val="001124D7"/>
    <w:rsid w:val="00113863"/>
    <w:rsid w:val="00157952"/>
    <w:rsid w:val="00161AD7"/>
    <w:rsid w:val="00170B34"/>
    <w:rsid w:val="00173340"/>
    <w:rsid w:val="001754AC"/>
    <w:rsid w:val="00177148"/>
    <w:rsid w:val="0018075A"/>
    <w:rsid w:val="00182B1B"/>
    <w:rsid w:val="00196443"/>
    <w:rsid w:val="001A2255"/>
    <w:rsid w:val="001A460F"/>
    <w:rsid w:val="001A548A"/>
    <w:rsid w:val="001C14D6"/>
    <w:rsid w:val="001C1CC1"/>
    <w:rsid w:val="001D559A"/>
    <w:rsid w:val="001F08D2"/>
    <w:rsid w:val="001F4274"/>
    <w:rsid w:val="001F7C29"/>
    <w:rsid w:val="002023C4"/>
    <w:rsid w:val="002042A5"/>
    <w:rsid w:val="0021511B"/>
    <w:rsid w:val="0022393B"/>
    <w:rsid w:val="00227885"/>
    <w:rsid w:val="002501A2"/>
    <w:rsid w:val="002541D3"/>
    <w:rsid w:val="00263AC7"/>
    <w:rsid w:val="00266625"/>
    <w:rsid w:val="00272836"/>
    <w:rsid w:val="0027326F"/>
    <w:rsid w:val="00275879"/>
    <w:rsid w:val="00282FB6"/>
    <w:rsid w:val="00286563"/>
    <w:rsid w:val="002B4C18"/>
    <w:rsid w:val="002B512D"/>
    <w:rsid w:val="002C11BE"/>
    <w:rsid w:val="002C28F8"/>
    <w:rsid w:val="002D0675"/>
    <w:rsid w:val="002D15A1"/>
    <w:rsid w:val="002E0474"/>
    <w:rsid w:val="002E1758"/>
    <w:rsid w:val="002E7F00"/>
    <w:rsid w:val="002F4611"/>
    <w:rsid w:val="002F60A8"/>
    <w:rsid w:val="003013EE"/>
    <w:rsid w:val="003045D0"/>
    <w:rsid w:val="00315667"/>
    <w:rsid w:val="00316DF4"/>
    <w:rsid w:val="00317B86"/>
    <w:rsid w:val="0033022C"/>
    <w:rsid w:val="0033795B"/>
    <w:rsid w:val="00340F1E"/>
    <w:rsid w:val="003434B1"/>
    <w:rsid w:val="00360FE4"/>
    <w:rsid w:val="00364430"/>
    <w:rsid w:val="0037370B"/>
    <w:rsid w:val="0037450B"/>
    <w:rsid w:val="003747E4"/>
    <w:rsid w:val="00374AA0"/>
    <w:rsid w:val="003779F3"/>
    <w:rsid w:val="00383AE9"/>
    <w:rsid w:val="003B0B51"/>
    <w:rsid w:val="003B17AC"/>
    <w:rsid w:val="003B2EA9"/>
    <w:rsid w:val="003C4867"/>
    <w:rsid w:val="003D061E"/>
    <w:rsid w:val="003D6734"/>
    <w:rsid w:val="003E2118"/>
    <w:rsid w:val="003E4465"/>
    <w:rsid w:val="003E738D"/>
    <w:rsid w:val="003F5109"/>
    <w:rsid w:val="00400E96"/>
    <w:rsid w:val="0040136D"/>
    <w:rsid w:val="004059FC"/>
    <w:rsid w:val="00417967"/>
    <w:rsid w:val="0042698E"/>
    <w:rsid w:val="00433096"/>
    <w:rsid w:val="00435084"/>
    <w:rsid w:val="00435B3F"/>
    <w:rsid w:val="0043616D"/>
    <w:rsid w:val="004461A3"/>
    <w:rsid w:val="00447F95"/>
    <w:rsid w:val="004518DD"/>
    <w:rsid w:val="004551F7"/>
    <w:rsid w:val="00463BD6"/>
    <w:rsid w:val="0046660F"/>
    <w:rsid w:val="00471F90"/>
    <w:rsid w:val="00474CEC"/>
    <w:rsid w:val="0047584C"/>
    <w:rsid w:val="004808E7"/>
    <w:rsid w:val="004834F4"/>
    <w:rsid w:val="00487533"/>
    <w:rsid w:val="004B127A"/>
    <w:rsid w:val="004B6F45"/>
    <w:rsid w:val="004B7A04"/>
    <w:rsid w:val="004C5A5E"/>
    <w:rsid w:val="004D4632"/>
    <w:rsid w:val="004F0548"/>
    <w:rsid w:val="004F1834"/>
    <w:rsid w:val="004F6EB9"/>
    <w:rsid w:val="0051427E"/>
    <w:rsid w:val="0051519D"/>
    <w:rsid w:val="00524A7D"/>
    <w:rsid w:val="005314BA"/>
    <w:rsid w:val="00545A3C"/>
    <w:rsid w:val="005536DD"/>
    <w:rsid w:val="00557794"/>
    <w:rsid w:val="00565E46"/>
    <w:rsid w:val="00567AF2"/>
    <w:rsid w:val="0057631F"/>
    <w:rsid w:val="00577F25"/>
    <w:rsid w:val="005A2633"/>
    <w:rsid w:val="005B0A8A"/>
    <w:rsid w:val="005B0B34"/>
    <w:rsid w:val="005B3FB9"/>
    <w:rsid w:val="005C6383"/>
    <w:rsid w:val="005C73C8"/>
    <w:rsid w:val="005D03AE"/>
    <w:rsid w:val="005D4AF1"/>
    <w:rsid w:val="005E70D9"/>
    <w:rsid w:val="005F119B"/>
    <w:rsid w:val="005F5295"/>
    <w:rsid w:val="005F5C71"/>
    <w:rsid w:val="006009D1"/>
    <w:rsid w:val="00600B22"/>
    <w:rsid w:val="0062689C"/>
    <w:rsid w:val="00636C13"/>
    <w:rsid w:val="00636DB5"/>
    <w:rsid w:val="00640642"/>
    <w:rsid w:val="00644223"/>
    <w:rsid w:val="006605BF"/>
    <w:rsid w:val="00665FFA"/>
    <w:rsid w:val="00677087"/>
    <w:rsid w:val="00677593"/>
    <w:rsid w:val="00677D9F"/>
    <w:rsid w:val="00687CC7"/>
    <w:rsid w:val="00691741"/>
    <w:rsid w:val="006938B0"/>
    <w:rsid w:val="00697394"/>
    <w:rsid w:val="00697E78"/>
    <w:rsid w:val="006A4EB9"/>
    <w:rsid w:val="006A645B"/>
    <w:rsid w:val="006A7B60"/>
    <w:rsid w:val="006B299D"/>
    <w:rsid w:val="006D0488"/>
    <w:rsid w:val="006D6160"/>
    <w:rsid w:val="006E51EE"/>
    <w:rsid w:val="006F3A0C"/>
    <w:rsid w:val="007174BA"/>
    <w:rsid w:val="00720EBB"/>
    <w:rsid w:val="00722861"/>
    <w:rsid w:val="007427EA"/>
    <w:rsid w:val="00746AF9"/>
    <w:rsid w:val="00763D38"/>
    <w:rsid w:val="00771EFB"/>
    <w:rsid w:val="00773969"/>
    <w:rsid w:val="00773D30"/>
    <w:rsid w:val="00797157"/>
    <w:rsid w:val="007A5DF0"/>
    <w:rsid w:val="007B024B"/>
    <w:rsid w:val="007B284B"/>
    <w:rsid w:val="007B611C"/>
    <w:rsid w:val="007D053B"/>
    <w:rsid w:val="007D4414"/>
    <w:rsid w:val="007F6069"/>
    <w:rsid w:val="008027B2"/>
    <w:rsid w:val="008027D1"/>
    <w:rsid w:val="00807F1E"/>
    <w:rsid w:val="008138FA"/>
    <w:rsid w:val="008200F0"/>
    <w:rsid w:val="00823569"/>
    <w:rsid w:val="0082727F"/>
    <w:rsid w:val="008341D6"/>
    <w:rsid w:val="00835225"/>
    <w:rsid w:val="00837A97"/>
    <w:rsid w:val="00840362"/>
    <w:rsid w:val="008540C0"/>
    <w:rsid w:val="00856882"/>
    <w:rsid w:val="00862EC6"/>
    <w:rsid w:val="0087221B"/>
    <w:rsid w:val="00872E3D"/>
    <w:rsid w:val="00876EC0"/>
    <w:rsid w:val="0088155A"/>
    <w:rsid w:val="00886041"/>
    <w:rsid w:val="00895BA1"/>
    <w:rsid w:val="008A5D9B"/>
    <w:rsid w:val="008C389F"/>
    <w:rsid w:val="008D7562"/>
    <w:rsid w:val="008E2443"/>
    <w:rsid w:val="008E753F"/>
    <w:rsid w:val="00903407"/>
    <w:rsid w:val="0090375A"/>
    <w:rsid w:val="00917771"/>
    <w:rsid w:val="00922196"/>
    <w:rsid w:val="00923C9E"/>
    <w:rsid w:val="00931FD4"/>
    <w:rsid w:val="0093512F"/>
    <w:rsid w:val="009479D4"/>
    <w:rsid w:val="00961256"/>
    <w:rsid w:val="00981757"/>
    <w:rsid w:val="0098672E"/>
    <w:rsid w:val="00993303"/>
    <w:rsid w:val="00994EC2"/>
    <w:rsid w:val="009A2583"/>
    <w:rsid w:val="009A61A7"/>
    <w:rsid w:val="009B3F08"/>
    <w:rsid w:val="009D43BB"/>
    <w:rsid w:val="009D4E9D"/>
    <w:rsid w:val="009D6E57"/>
    <w:rsid w:val="009E022B"/>
    <w:rsid w:val="009E1A20"/>
    <w:rsid w:val="00A019C6"/>
    <w:rsid w:val="00A01A8A"/>
    <w:rsid w:val="00A06BC6"/>
    <w:rsid w:val="00A1281E"/>
    <w:rsid w:val="00A240EE"/>
    <w:rsid w:val="00A30753"/>
    <w:rsid w:val="00A319E8"/>
    <w:rsid w:val="00A323BC"/>
    <w:rsid w:val="00A437D7"/>
    <w:rsid w:val="00A55C55"/>
    <w:rsid w:val="00A5774F"/>
    <w:rsid w:val="00A75D2B"/>
    <w:rsid w:val="00A80526"/>
    <w:rsid w:val="00A821B1"/>
    <w:rsid w:val="00A84F0E"/>
    <w:rsid w:val="00A95BC8"/>
    <w:rsid w:val="00AA359F"/>
    <w:rsid w:val="00AA6212"/>
    <w:rsid w:val="00AB0338"/>
    <w:rsid w:val="00AC2DBC"/>
    <w:rsid w:val="00AC568E"/>
    <w:rsid w:val="00AD0E08"/>
    <w:rsid w:val="00AD1463"/>
    <w:rsid w:val="00AE3800"/>
    <w:rsid w:val="00AE3A63"/>
    <w:rsid w:val="00AE3F9C"/>
    <w:rsid w:val="00AE6E7F"/>
    <w:rsid w:val="00AF0BED"/>
    <w:rsid w:val="00AF0C82"/>
    <w:rsid w:val="00AF1856"/>
    <w:rsid w:val="00AF7D0D"/>
    <w:rsid w:val="00B05D4A"/>
    <w:rsid w:val="00B159ED"/>
    <w:rsid w:val="00B161F2"/>
    <w:rsid w:val="00B20EF9"/>
    <w:rsid w:val="00B26374"/>
    <w:rsid w:val="00B2743F"/>
    <w:rsid w:val="00B36172"/>
    <w:rsid w:val="00B37999"/>
    <w:rsid w:val="00B65E31"/>
    <w:rsid w:val="00BB525C"/>
    <w:rsid w:val="00BB7B9F"/>
    <w:rsid w:val="00BC651A"/>
    <w:rsid w:val="00BD2CFA"/>
    <w:rsid w:val="00BD77D7"/>
    <w:rsid w:val="00BD7C6A"/>
    <w:rsid w:val="00BF4ABF"/>
    <w:rsid w:val="00BF54B7"/>
    <w:rsid w:val="00C06502"/>
    <w:rsid w:val="00C1045B"/>
    <w:rsid w:val="00C12906"/>
    <w:rsid w:val="00C134A6"/>
    <w:rsid w:val="00C15F51"/>
    <w:rsid w:val="00C178A3"/>
    <w:rsid w:val="00C2233C"/>
    <w:rsid w:val="00C3173E"/>
    <w:rsid w:val="00C35E8F"/>
    <w:rsid w:val="00C40DEB"/>
    <w:rsid w:val="00C467DA"/>
    <w:rsid w:val="00C65FAD"/>
    <w:rsid w:val="00C74261"/>
    <w:rsid w:val="00C751D9"/>
    <w:rsid w:val="00C805CD"/>
    <w:rsid w:val="00C83442"/>
    <w:rsid w:val="00C86827"/>
    <w:rsid w:val="00CA32FF"/>
    <w:rsid w:val="00CA5ED2"/>
    <w:rsid w:val="00CC27A6"/>
    <w:rsid w:val="00CC5448"/>
    <w:rsid w:val="00CD28DF"/>
    <w:rsid w:val="00CD578D"/>
    <w:rsid w:val="00CD5F5F"/>
    <w:rsid w:val="00CE1EA4"/>
    <w:rsid w:val="00CF3E79"/>
    <w:rsid w:val="00CF63A4"/>
    <w:rsid w:val="00D21121"/>
    <w:rsid w:val="00D23F39"/>
    <w:rsid w:val="00D26742"/>
    <w:rsid w:val="00D26AE2"/>
    <w:rsid w:val="00D44E57"/>
    <w:rsid w:val="00D46B35"/>
    <w:rsid w:val="00D4752E"/>
    <w:rsid w:val="00D55F34"/>
    <w:rsid w:val="00D56310"/>
    <w:rsid w:val="00D56C44"/>
    <w:rsid w:val="00D64FAE"/>
    <w:rsid w:val="00D71151"/>
    <w:rsid w:val="00D75387"/>
    <w:rsid w:val="00D81A38"/>
    <w:rsid w:val="00D9013F"/>
    <w:rsid w:val="00D929FB"/>
    <w:rsid w:val="00D942A7"/>
    <w:rsid w:val="00DB202B"/>
    <w:rsid w:val="00DB5C84"/>
    <w:rsid w:val="00DC70D3"/>
    <w:rsid w:val="00DD3A1A"/>
    <w:rsid w:val="00DD52E7"/>
    <w:rsid w:val="00E02555"/>
    <w:rsid w:val="00E06484"/>
    <w:rsid w:val="00E123CE"/>
    <w:rsid w:val="00E2058D"/>
    <w:rsid w:val="00E26246"/>
    <w:rsid w:val="00E349F6"/>
    <w:rsid w:val="00E43F14"/>
    <w:rsid w:val="00E4436D"/>
    <w:rsid w:val="00E45E38"/>
    <w:rsid w:val="00E50203"/>
    <w:rsid w:val="00E53B2C"/>
    <w:rsid w:val="00E60509"/>
    <w:rsid w:val="00E605BF"/>
    <w:rsid w:val="00E713D1"/>
    <w:rsid w:val="00E7229C"/>
    <w:rsid w:val="00E72B3F"/>
    <w:rsid w:val="00E75BE8"/>
    <w:rsid w:val="00E76777"/>
    <w:rsid w:val="00E83085"/>
    <w:rsid w:val="00E863C7"/>
    <w:rsid w:val="00EC0959"/>
    <w:rsid w:val="00EC0BC0"/>
    <w:rsid w:val="00EC11E3"/>
    <w:rsid w:val="00EC6474"/>
    <w:rsid w:val="00ED4C78"/>
    <w:rsid w:val="00EE5849"/>
    <w:rsid w:val="00EF2881"/>
    <w:rsid w:val="00F0268D"/>
    <w:rsid w:val="00F24700"/>
    <w:rsid w:val="00F256C3"/>
    <w:rsid w:val="00F312D2"/>
    <w:rsid w:val="00F46784"/>
    <w:rsid w:val="00F543B2"/>
    <w:rsid w:val="00F54AC9"/>
    <w:rsid w:val="00F5776C"/>
    <w:rsid w:val="00F66BC1"/>
    <w:rsid w:val="00F67A33"/>
    <w:rsid w:val="00F77D89"/>
    <w:rsid w:val="00F83580"/>
    <w:rsid w:val="00F851C4"/>
    <w:rsid w:val="00F8616A"/>
    <w:rsid w:val="00F962DD"/>
    <w:rsid w:val="00F97586"/>
    <w:rsid w:val="00FA344A"/>
    <w:rsid w:val="00FA5518"/>
    <w:rsid w:val="00FC7555"/>
    <w:rsid w:val="00FF049F"/>
    <w:rsid w:val="00FF4969"/>
    <w:rsid w:val="00FF70B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EFA2"/>
  <w15:docId w15:val="{FB53C972-187D-4432-98E5-19B9A6C1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F3"/>
    <w:pPr>
      <w:spacing w:after="240" w:line="240" w:lineRule="auto"/>
      <w:jc w:val="both"/>
    </w:pPr>
    <w:rPr>
      <w:rFonts w:ascii="Arial Narrow" w:hAnsi="Arial Narrow"/>
    </w:rPr>
  </w:style>
  <w:style w:type="paragraph" w:styleId="Heading1">
    <w:name w:val="heading 1"/>
    <w:basedOn w:val="Normal"/>
    <w:next w:val="Normal"/>
    <w:link w:val="Heading1Char"/>
    <w:autoRedefine/>
    <w:uiPriority w:val="9"/>
    <w:qFormat/>
    <w:rsid w:val="00961256"/>
    <w:pPr>
      <w:keepNext/>
      <w:keepLines/>
      <w:numPr>
        <w:numId w:val="3"/>
      </w:numPr>
      <w:spacing w:before="240"/>
      <w:ind w:left="426" w:right="-589" w:hanging="426"/>
      <w:outlineLvl w:val="0"/>
    </w:pPr>
    <w:rPr>
      <w:rFonts w:ascii="Arial" w:eastAsia="Times New Roman" w:hAnsi="Arial" w:cs="Arial"/>
      <w:b/>
      <w:bCs/>
      <w:color w:val="2E74B5" w:themeColor="accent1" w:themeShade="BF"/>
      <w:sz w:val="28"/>
      <w:szCs w:val="28"/>
      <w:lang w:val="en-US"/>
    </w:rPr>
  </w:style>
  <w:style w:type="paragraph" w:styleId="Heading2">
    <w:name w:val="heading 2"/>
    <w:basedOn w:val="Heading1"/>
    <w:next w:val="Normal"/>
    <w:link w:val="Heading2Char"/>
    <w:autoRedefine/>
    <w:uiPriority w:val="9"/>
    <w:unhideWhenUsed/>
    <w:qFormat/>
    <w:rsid w:val="00961256"/>
    <w:pPr>
      <w:numPr>
        <w:ilvl w:val="1"/>
      </w:numPr>
      <w:spacing w:after="120"/>
      <w:ind w:left="708" w:hanging="566"/>
      <w:outlineLvl w:val="1"/>
    </w:pPr>
    <w:rPr>
      <w:rFonts w:eastAsia="Calibri"/>
      <w:color w:val="8EAADB" w:themeColor="accent5" w:themeTint="99"/>
      <w:sz w:val="22"/>
      <w:szCs w:val="22"/>
    </w:rPr>
  </w:style>
  <w:style w:type="paragraph" w:styleId="Heading3">
    <w:name w:val="heading 3"/>
    <w:basedOn w:val="Heading2"/>
    <w:next w:val="Normal"/>
    <w:link w:val="Heading3Char"/>
    <w:autoRedefine/>
    <w:uiPriority w:val="9"/>
    <w:unhideWhenUsed/>
    <w:qFormat/>
    <w:rsid w:val="00FF70B5"/>
    <w:pPr>
      <w:numPr>
        <w:ilvl w:val="2"/>
      </w:numPr>
      <w:spacing w:before="120"/>
      <w:ind w:left="709" w:right="-590" w:hanging="709"/>
      <w:outlineLvl w:val="2"/>
    </w:pPr>
    <w:rPr>
      <w:lang w:eastAsia="en-MY"/>
    </w:rPr>
  </w:style>
  <w:style w:type="paragraph" w:styleId="Heading4">
    <w:name w:val="heading 4"/>
    <w:basedOn w:val="Normal"/>
    <w:next w:val="Normal"/>
    <w:link w:val="Heading4Char"/>
    <w:autoRedefine/>
    <w:uiPriority w:val="9"/>
    <w:unhideWhenUsed/>
    <w:qFormat/>
    <w:rsid w:val="001F08D2"/>
    <w:pPr>
      <w:keepNext/>
      <w:keepLines/>
      <w:spacing w:before="120" w:after="120"/>
      <w:outlineLvl w:val="3"/>
    </w:pPr>
    <w:rPr>
      <w:rFonts w:eastAsiaTheme="majorEastAsia" w:cstheme="majorBidi"/>
      <w:i/>
      <w:iCs/>
      <w:color w:val="2E74B5" w:themeColor="accent1" w:themeShade="BF"/>
    </w:rPr>
  </w:style>
  <w:style w:type="paragraph" w:styleId="Heading5">
    <w:name w:val="heading 5"/>
    <w:basedOn w:val="Normal"/>
    <w:next w:val="Normal"/>
    <w:link w:val="Heading5Char"/>
    <w:autoRedefine/>
    <w:uiPriority w:val="9"/>
    <w:unhideWhenUsed/>
    <w:qFormat/>
    <w:rsid w:val="00DD52E7"/>
    <w:pPr>
      <w:keepNext/>
      <w:keepLines/>
      <w:spacing w:before="120" w:after="12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075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75A"/>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8075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61256"/>
    <w:rPr>
      <w:rFonts w:ascii="Arial" w:eastAsia="Times New Roman" w:hAnsi="Arial" w:cs="Arial"/>
      <w:b/>
      <w:bCs/>
      <w:color w:val="2E74B5" w:themeColor="accent1" w:themeShade="BF"/>
      <w:sz w:val="28"/>
      <w:szCs w:val="28"/>
      <w:lang w:val="en-US"/>
    </w:rPr>
  </w:style>
  <w:style w:type="character" w:customStyle="1" w:styleId="Heading2Char">
    <w:name w:val="Heading 2 Char"/>
    <w:basedOn w:val="DefaultParagraphFont"/>
    <w:link w:val="Heading2"/>
    <w:uiPriority w:val="9"/>
    <w:rsid w:val="00961256"/>
    <w:rPr>
      <w:rFonts w:ascii="Arial" w:eastAsia="Calibri" w:hAnsi="Arial" w:cs="Arial"/>
      <w:b/>
      <w:bCs/>
      <w:color w:val="8EAADB" w:themeColor="accent5" w:themeTint="99"/>
      <w:lang w:val="en-US"/>
    </w:rPr>
  </w:style>
  <w:style w:type="paragraph" w:styleId="ListParagraph">
    <w:name w:val="List Paragraph"/>
    <w:aliases w:val="List Paragraph1,Numbered paragraph,NEW INDENT,Heading II,Liste 1,Ha,Dot pt,F5 List Paragraph,No Spacing1,List bullet,List Paragraph Char Char Char,Indicator Text,Numbered Para 1,List Paragraph12,Bullet Points,MAIN CONTENT,Bullet 1,Bullets"/>
    <w:basedOn w:val="Normal"/>
    <w:uiPriority w:val="1"/>
    <w:qFormat/>
    <w:rsid w:val="008A5D9B"/>
    <w:pPr>
      <w:ind w:left="720"/>
      <w:contextualSpacing/>
    </w:pPr>
  </w:style>
  <w:style w:type="table" w:styleId="TableGrid">
    <w:name w:val="Table Grid"/>
    <w:basedOn w:val="TableNormal"/>
    <w:uiPriority w:val="39"/>
    <w:rsid w:val="00D56C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F70B5"/>
    <w:rPr>
      <w:rFonts w:ascii="Arial" w:eastAsia="Calibri" w:hAnsi="Arial" w:cs="Arial"/>
      <w:b/>
      <w:bCs/>
      <w:color w:val="8EAADB" w:themeColor="accent5" w:themeTint="99"/>
      <w:lang w:val="en-US" w:eastAsia="en-MY"/>
    </w:rPr>
  </w:style>
  <w:style w:type="character" w:customStyle="1" w:styleId="Heading4Char">
    <w:name w:val="Heading 4 Char"/>
    <w:basedOn w:val="DefaultParagraphFont"/>
    <w:link w:val="Heading4"/>
    <w:uiPriority w:val="9"/>
    <w:rsid w:val="001F08D2"/>
    <w:rPr>
      <w:rFonts w:ascii="Arial Narrow" w:eastAsiaTheme="majorEastAsia" w:hAnsi="Arial Narrow" w:cstheme="majorBidi"/>
      <w:i/>
      <w:iCs/>
      <w:color w:val="2E74B5" w:themeColor="accent1" w:themeShade="BF"/>
    </w:rPr>
  </w:style>
  <w:style w:type="character" w:customStyle="1" w:styleId="Heading5Char">
    <w:name w:val="Heading 5 Char"/>
    <w:basedOn w:val="DefaultParagraphFont"/>
    <w:link w:val="Heading5"/>
    <w:uiPriority w:val="9"/>
    <w:rsid w:val="00DD52E7"/>
    <w:rPr>
      <w:rFonts w:ascii="Arial Narrow" w:eastAsiaTheme="majorEastAsia" w:hAnsi="Arial Narrow" w:cstheme="majorBidi"/>
      <w:color w:val="2E74B5" w:themeColor="accent1" w:themeShade="BF"/>
    </w:rPr>
  </w:style>
  <w:style w:type="character" w:styleId="CommentReference">
    <w:name w:val="annotation reference"/>
    <w:basedOn w:val="DefaultParagraphFont"/>
    <w:uiPriority w:val="99"/>
    <w:semiHidden/>
    <w:unhideWhenUsed/>
    <w:rsid w:val="00D26AE2"/>
    <w:rPr>
      <w:sz w:val="16"/>
      <w:szCs w:val="16"/>
    </w:rPr>
  </w:style>
  <w:style w:type="paragraph" w:styleId="CommentText">
    <w:name w:val="annotation text"/>
    <w:basedOn w:val="Normal"/>
    <w:link w:val="CommentTextChar"/>
    <w:uiPriority w:val="99"/>
    <w:unhideWhenUsed/>
    <w:rsid w:val="00D26AE2"/>
    <w:rPr>
      <w:sz w:val="20"/>
      <w:szCs w:val="20"/>
    </w:rPr>
  </w:style>
  <w:style w:type="character" w:customStyle="1" w:styleId="CommentTextChar">
    <w:name w:val="Comment Text Char"/>
    <w:basedOn w:val="DefaultParagraphFont"/>
    <w:link w:val="CommentText"/>
    <w:uiPriority w:val="99"/>
    <w:rsid w:val="00D26A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6AE2"/>
    <w:rPr>
      <w:b/>
      <w:bCs/>
    </w:rPr>
  </w:style>
  <w:style w:type="character" w:customStyle="1" w:styleId="CommentSubjectChar">
    <w:name w:val="Comment Subject Char"/>
    <w:basedOn w:val="CommentTextChar"/>
    <w:link w:val="CommentSubject"/>
    <w:uiPriority w:val="99"/>
    <w:semiHidden/>
    <w:rsid w:val="00D26AE2"/>
    <w:rPr>
      <w:rFonts w:ascii="Arial" w:hAnsi="Arial"/>
      <w:b/>
      <w:bCs/>
      <w:sz w:val="20"/>
      <w:szCs w:val="20"/>
    </w:rPr>
  </w:style>
  <w:style w:type="paragraph" w:styleId="BalloonText">
    <w:name w:val="Balloon Text"/>
    <w:basedOn w:val="Normal"/>
    <w:link w:val="BalloonTextChar"/>
    <w:uiPriority w:val="99"/>
    <w:semiHidden/>
    <w:unhideWhenUsed/>
    <w:rsid w:val="00D26A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E2"/>
    <w:rPr>
      <w:rFonts w:ascii="Segoe UI" w:hAnsi="Segoe UI" w:cs="Segoe UI"/>
      <w:sz w:val="18"/>
      <w:szCs w:val="18"/>
    </w:rPr>
  </w:style>
  <w:style w:type="paragraph" w:styleId="Caption">
    <w:name w:val="caption"/>
    <w:basedOn w:val="Normal"/>
    <w:next w:val="Normal"/>
    <w:uiPriority w:val="35"/>
    <w:unhideWhenUsed/>
    <w:qFormat/>
    <w:rsid w:val="00CA5ED2"/>
    <w:pPr>
      <w:spacing w:after="200"/>
    </w:pPr>
    <w:rPr>
      <w:i/>
      <w:iCs/>
      <w:color w:val="44546A" w:themeColor="text2"/>
      <w:sz w:val="18"/>
      <w:szCs w:val="18"/>
    </w:rPr>
  </w:style>
  <w:style w:type="paragraph" w:styleId="TOCHeading">
    <w:name w:val="TOC Heading"/>
    <w:basedOn w:val="Heading1"/>
    <w:next w:val="Normal"/>
    <w:uiPriority w:val="39"/>
    <w:unhideWhenUsed/>
    <w:qFormat/>
    <w:rsid w:val="00F66BC1"/>
    <w:pPr>
      <w:outlineLvl w:val="9"/>
    </w:pPr>
  </w:style>
  <w:style w:type="paragraph" w:styleId="TOC1">
    <w:name w:val="toc 1"/>
    <w:basedOn w:val="Normal"/>
    <w:next w:val="Normal"/>
    <w:autoRedefine/>
    <w:uiPriority w:val="39"/>
    <w:unhideWhenUsed/>
    <w:rsid w:val="00F66BC1"/>
    <w:pPr>
      <w:spacing w:after="100"/>
    </w:pPr>
  </w:style>
  <w:style w:type="paragraph" w:styleId="TOC2">
    <w:name w:val="toc 2"/>
    <w:basedOn w:val="Normal"/>
    <w:next w:val="Normal"/>
    <w:autoRedefine/>
    <w:uiPriority w:val="39"/>
    <w:unhideWhenUsed/>
    <w:rsid w:val="00F66BC1"/>
    <w:pPr>
      <w:spacing w:after="100"/>
      <w:ind w:left="220"/>
    </w:pPr>
  </w:style>
  <w:style w:type="paragraph" w:styleId="TOC3">
    <w:name w:val="toc 3"/>
    <w:basedOn w:val="Normal"/>
    <w:next w:val="Normal"/>
    <w:autoRedefine/>
    <w:uiPriority w:val="39"/>
    <w:unhideWhenUsed/>
    <w:rsid w:val="00F66BC1"/>
    <w:pPr>
      <w:spacing w:after="100"/>
      <w:ind w:left="440"/>
    </w:pPr>
  </w:style>
  <w:style w:type="character" w:styleId="Hyperlink">
    <w:name w:val="Hyperlink"/>
    <w:basedOn w:val="DefaultParagraphFont"/>
    <w:uiPriority w:val="99"/>
    <w:unhideWhenUsed/>
    <w:rsid w:val="00F66BC1"/>
    <w:rPr>
      <w:color w:val="0563C1" w:themeColor="hyperlink"/>
      <w:u w:val="single"/>
    </w:rPr>
  </w:style>
  <w:style w:type="paragraph" w:styleId="Header">
    <w:name w:val="header"/>
    <w:basedOn w:val="Normal"/>
    <w:link w:val="HeaderChar"/>
    <w:uiPriority w:val="99"/>
    <w:unhideWhenUsed/>
    <w:rsid w:val="00F5776C"/>
    <w:pPr>
      <w:tabs>
        <w:tab w:val="center" w:pos="4513"/>
        <w:tab w:val="right" w:pos="9026"/>
      </w:tabs>
      <w:spacing w:after="0"/>
    </w:pPr>
  </w:style>
  <w:style w:type="character" w:customStyle="1" w:styleId="HeaderChar">
    <w:name w:val="Header Char"/>
    <w:basedOn w:val="DefaultParagraphFont"/>
    <w:link w:val="Header"/>
    <w:uiPriority w:val="99"/>
    <w:rsid w:val="00F5776C"/>
    <w:rPr>
      <w:rFonts w:ascii="Arial" w:hAnsi="Arial"/>
    </w:rPr>
  </w:style>
  <w:style w:type="paragraph" w:styleId="Footer">
    <w:name w:val="footer"/>
    <w:basedOn w:val="Normal"/>
    <w:link w:val="FooterChar"/>
    <w:uiPriority w:val="99"/>
    <w:unhideWhenUsed/>
    <w:rsid w:val="00F5776C"/>
    <w:pPr>
      <w:tabs>
        <w:tab w:val="center" w:pos="4513"/>
        <w:tab w:val="right" w:pos="9026"/>
      </w:tabs>
      <w:spacing w:after="0"/>
    </w:pPr>
  </w:style>
  <w:style w:type="character" w:customStyle="1" w:styleId="FooterChar">
    <w:name w:val="Footer Char"/>
    <w:basedOn w:val="DefaultParagraphFont"/>
    <w:link w:val="Footer"/>
    <w:uiPriority w:val="99"/>
    <w:rsid w:val="00F5776C"/>
    <w:rPr>
      <w:rFonts w:ascii="Arial" w:hAnsi="Arial"/>
    </w:rPr>
  </w:style>
  <w:style w:type="paragraph" w:styleId="FootnoteText">
    <w:name w:val="footnote text"/>
    <w:basedOn w:val="Normal"/>
    <w:link w:val="FootnoteTextChar"/>
    <w:uiPriority w:val="99"/>
    <w:unhideWhenUsed/>
    <w:rsid w:val="00D46B35"/>
    <w:pPr>
      <w:spacing w:after="0"/>
    </w:pPr>
    <w:rPr>
      <w:sz w:val="20"/>
      <w:szCs w:val="20"/>
    </w:rPr>
  </w:style>
  <w:style w:type="character" w:customStyle="1" w:styleId="FootnoteTextChar">
    <w:name w:val="Footnote Text Char"/>
    <w:basedOn w:val="DefaultParagraphFont"/>
    <w:link w:val="FootnoteText"/>
    <w:uiPriority w:val="99"/>
    <w:rsid w:val="00D46B35"/>
    <w:rPr>
      <w:rFonts w:ascii="Arial" w:hAnsi="Arial"/>
      <w:sz w:val="20"/>
      <w:szCs w:val="20"/>
    </w:rPr>
  </w:style>
  <w:style w:type="character" w:styleId="FootnoteReference">
    <w:name w:val="footnote reference"/>
    <w:basedOn w:val="DefaultParagraphFont"/>
    <w:uiPriority w:val="99"/>
    <w:semiHidden/>
    <w:unhideWhenUsed/>
    <w:rsid w:val="00D46B35"/>
    <w:rPr>
      <w:vertAlign w:val="superscript"/>
    </w:rPr>
  </w:style>
  <w:style w:type="paragraph" w:styleId="NoSpacing">
    <w:name w:val="No Spacing"/>
    <w:link w:val="NoSpacingChar"/>
    <w:uiPriority w:val="1"/>
    <w:qFormat/>
    <w:rsid w:val="00182B1B"/>
    <w:pPr>
      <w:spacing w:after="0" w:line="240" w:lineRule="auto"/>
      <w:jc w:val="both"/>
    </w:pPr>
    <w:rPr>
      <w:rFonts w:ascii="Arial Narrow" w:hAnsi="Arial Narrow"/>
    </w:rPr>
  </w:style>
  <w:style w:type="character" w:customStyle="1" w:styleId="UnresolvedMention1">
    <w:name w:val="Unresolved Mention1"/>
    <w:basedOn w:val="DefaultParagraphFont"/>
    <w:uiPriority w:val="99"/>
    <w:semiHidden/>
    <w:unhideWhenUsed/>
    <w:rsid w:val="00F0268D"/>
    <w:rPr>
      <w:color w:val="605E5C"/>
      <w:shd w:val="clear" w:color="auto" w:fill="E1DFDD"/>
    </w:rPr>
  </w:style>
  <w:style w:type="paragraph" w:styleId="TableofFigures">
    <w:name w:val="table of figures"/>
    <w:basedOn w:val="Normal"/>
    <w:next w:val="Normal"/>
    <w:uiPriority w:val="99"/>
    <w:unhideWhenUsed/>
    <w:rsid w:val="00E02555"/>
    <w:pPr>
      <w:spacing w:after="0"/>
    </w:pPr>
  </w:style>
  <w:style w:type="character" w:customStyle="1" w:styleId="NoSpacingChar">
    <w:name w:val="No Spacing Char"/>
    <w:basedOn w:val="DefaultParagraphFont"/>
    <w:link w:val="NoSpacing"/>
    <w:uiPriority w:val="1"/>
    <w:rsid w:val="0033022C"/>
    <w:rPr>
      <w:rFonts w:ascii="Arial Narrow" w:hAnsi="Arial Narrow"/>
    </w:rPr>
  </w:style>
  <w:style w:type="table" w:customStyle="1" w:styleId="MediumShading1-Accent61">
    <w:name w:val="Medium Shading 1 - Accent 61"/>
    <w:basedOn w:val="TableNormal"/>
    <w:next w:val="MediumShading1-Accent6"/>
    <w:uiPriority w:val="63"/>
    <w:rsid w:val="0033022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
    <w:name w:val="Medium Shading 2 - Accent 21"/>
    <w:basedOn w:val="TableNormal"/>
    <w:next w:val="MediumShading2-Accent2"/>
    <w:uiPriority w:val="64"/>
    <w:rsid w:val="00330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33022C"/>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
    <w:name w:val="Light Shading - Accent 21"/>
    <w:basedOn w:val="TableNormal"/>
    <w:next w:val="LightShading-Accent2"/>
    <w:uiPriority w:val="60"/>
    <w:rsid w:val="0033022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61">
    <w:name w:val="Light Shading - Accent 61"/>
    <w:basedOn w:val="TableNormal"/>
    <w:next w:val="LightShading-Accent6"/>
    <w:uiPriority w:val="60"/>
    <w:rsid w:val="0033022C"/>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Default">
    <w:name w:val="Default"/>
    <w:rsid w:val="0033022C"/>
    <w:pPr>
      <w:autoSpaceDE w:val="0"/>
      <w:autoSpaceDN w:val="0"/>
      <w:adjustRightInd w:val="0"/>
      <w:spacing w:after="0" w:line="240" w:lineRule="auto"/>
    </w:pPr>
    <w:rPr>
      <w:rFonts w:ascii="Calibri" w:hAnsi="Calibri" w:cs="Calibri"/>
      <w:color w:val="000000"/>
      <w:sz w:val="24"/>
      <w:szCs w:val="24"/>
      <w:lang w:val="en-MY"/>
    </w:rPr>
  </w:style>
  <w:style w:type="paragraph" w:customStyle="1" w:styleId="3vff3xh4yd">
    <w:name w:val="_3vff3xh4yd"/>
    <w:basedOn w:val="Normal"/>
    <w:rsid w:val="0033022C"/>
    <w:pPr>
      <w:spacing w:before="100" w:beforeAutospacing="1" w:after="100" w:afterAutospacing="1"/>
    </w:pPr>
    <w:rPr>
      <w:rFonts w:ascii="Times New Roman" w:eastAsia="Times New Roman" w:hAnsi="Times New Roman" w:cs="Times New Roman"/>
      <w:sz w:val="24"/>
      <w:szCs w:val="24"/>
      <w:lang w:val="en-MY" w:eastAsia="en-MY"/>
    </w:rPr>
  </w:style>
  <w:style w:type="table" w:styleId="MediumShading1-Accent6">
    <w:name w:val="Medium Shading 1 Accent 6"/>
    <w:basedOn w:val="TableNormal"/>
    <w:uiPriority w:val="63"/>
    <w:semiHidden/>
    <w:unhideWhenUsed/>
    <w:rsid w:val="0033022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330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List-Accent6">
    <w:name w:val="Light List Accent 6"/>
    <w:basedOn w:val="TableNormal"/>
    <w:uiPriority w:val="61"/>
    <w:semiHidden/>
    <w:unhideWhenUsed/>
    <w:rsid w:val="0033022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2">
    <w:name w:val="Light Shading Accent 2"/>
    <w:basedOn w:val="TableNormal"/>
    <w:uiPriority w:val="60"/>
    <w:semiHidden/>
    <w:unhideWhenUsed/>
    <w:rsid w:val="0033022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semiHidden/>
    <w:unhideWhenUsed/>
    <w:rsid w:val="0033022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HTMLPreformatted">
    <w:name w:val="HTML Preformatted"/>
    <w:basedOn w:val="Normal"/>
    <w:link w:val="HTMLPreformattedChar"/>
    <w:uiPriority w:val="99"/>
    <w:semiHidden/>
    <w:unhideWhenUsed/>
    <w:rsid w:val="008027D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27D1"/>
    <w:rPr>
      <w:rFonts w:ascii="Consolas" w:hAnsi="Consolas"/>
      <w:sz w:val="20"/>
      <w:szCs w:val="20"/>
    </w:rPr>
  </w:style>
  <w:style w:type="character" w:customStyle="1" w:styleId="UnresolvedMention2">
    <w:name w:val="Unresolved Mention2"/>
    <w:basedOn w:val="DefaultParagraphFont"/>
    <w:uiPriority w:val="99"/>
    <w:semiHidden/>
    <w:unhideWhenUsed/>
    <w:rsid w:val="005F5C71"/>
    <w:rPr>
      <w:color w:val="605E5C"/>
      <w:shd w:val="clear" w:color="auto" w:fill="E1DFDD"/>
    </w:rPr>
  </w:style>
  <w:style w:type="paragraph" w:styleId="BodyText">
    <w:name w:val="Body Text"/>
    <w:basedOn w:val="Normal"/>
    <w:link w:val="BodyTextChar"/>
    <w:uiPriority w:val="1"/>
    <w:qFormat/>
    <w:rsid w:val="002E1758"/>
    <w:pPr>
      <w:kinsoku w:val="0"/>
      <w:overflowPunct w:val="0"/>
      <w:autoSpaceDE w:val="0"/>
      <w:autoSpaceDN w:val="0"/>
      <w:adjustRightInd w:val="0"/>
      <w:spacing w:after="120"/>
      <w:ind w:left="40" w:right="113"/>
    </w:pPr>
    <w:rPr>
      <w:rFonts w:cs="Calibri"/>
      <w:spacing w:val="-1"/>
      <w:lang w:val="en-US"/>
    </w:rPr>
  </w:style>
  <w:style w:type="character" w:customStyle="1" w:styleId="BodyTextChar">
    <w:name w:val="Body Text Char"/>
    <w:basedOn w:val="DefaultParagraphFont"/>
    <w:link w:val="BodyText"/>
    <w:uiPriority w:val="1"/>
    <w:rsid w:val="002E1758"/>
    <w:rPr>
      <w:rFonts w:ascii="Arial Narrow" w:hAnsi="Arial Narrow" w:cs="Calibri"/>
      <w:spacing w:val="-1"/>
      <w:lang w:val="en-US"/>
    </w:rPr>
  </w:style>
  <w:style w:type="paragraph" w:styleId="Revision">
    <w:name w:val="Revision"/>
    <w:hidden/>
    <w:uiPriority w:val="99"/>
    <w:semiHidden/>
    <w:rsid w:val="00F46784"/>
    <w:pPr>
      <w:spacing w:after="0" w:line="240" w:lineRule="auto"/>
    </w:pPr>
    <w:rPr>
      <w:rFonts w:ascii="Arial Narrow" w:hAnsi="Arial Narrow"/>
    </w:rPr>
  </w:style>
  <w:style w:type="character" w:styleId="UnresolvedMention">
    <w:name w:val="Unresolved Mention"/>
    <w:basedOn w:val="DefaultParagraphFont"/>
    <w:uiPriority w:val="99"/>
    <w:semiHidden/>
    <w:unhideWhenUsed/>
    <w:rsid w:val="00401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2589">
      <w:bodyDiv w:val="1"/>
      <w:marLeft w:val="0"/>
      <w:marRight w:val="0"/>
      <w:marTop w:val="0"/>
      <w:marBottom w:val="0"/>
      <w:divBdr>
        <w:top w:val="none" w:sz="0" w:space="0" w:color="auto"/>
        <w:left w:val="none" w:sz="0" w:space="0" w:color="auto"/>
        <w:bottom w:val="none" w:sz="0" w:space="0" w:color="auto"/>
        <w:right w:val="none" w:sz="0" w:space="0" w:color="auto"/>
      </w:divBdr>
    </w:div>
    <w:div w:id="806968102">
      <w:bodyDiv w:val="1"/>
      <w:marLeft w:val="0"/>
      <w:marRight w:val="0"/>
      <w:marTop w:val="0"/>
      <w:marBottom w:val="0"/>
      <w:divBdr>
        <w:top w:val="none" w:sz="0" w:space="0" w:color="auto"/>
        <w:left w:val="none" w:sz="0" w:space="0" w:color="auto"/>
        <w:bottom w:val="none" w:sz="0" w:space="0" w:color="auto"/>
        <w:right w:val="none" w:sz="0" w:space="0" w:color="auto"/>
      </w:divBdr>
    </w:div>
    <w:div w:id="816189390">
      <w:bodyDiv w:val="1"/>
      <w:marLeft w:val="0"/>
      <w:marRight w:val="0"/>
      <w:marTop w:val="0"/>
      <w:marBottom w:val="0"/>
      <w:divBdr>
        <w:top w:val="none" w:sz="0" w:space="0" w:color="auto"/>
        <w:left w:val="none" w:sz="0" w:space="0" w:color="auto"/>
        <w:bottom w:val="none" w:sz="0" w:space="0" w:color="auto"/>
        <w:right w:val="none" w:sz="0" w:space="0" w:color="auto"/>
      </w:divBdr>
    </w:div>
    <w:div w:id="872310639">
      <w:bodyDiv w:val="1"/>
      <w:marLeft w:val="0"/>
      <w:marRight w:val="0"/>
      <w:marTop w:val="0"/>
      <w:marBottom w:val="0"/>
      <w:divBdr>
        <w:top w:val="none" w:sz="0" w:space="0" w:color="auto"/>
        <w:left w:val="none" w:sz="0" w:space="0" w:color="auto"/>
        <w:bottom w:val="none" w:sz="0" w:space="0" w:color="auto"/>
        <w:right w:val="none" w:sz="0" w:space="0" w:color="auto"/>
      </w:divBdr>
    </w:div>
    <w:div w:id="1086265401">
      <w:bodyDiv w:val="1"/>
      <w:marLeft w:val="0"/>
      <w:marRight w:val="0"/>
      <w:marTop w:val="0"/>
      <w:marBottom w:val="0"/>
      <w:divBdr>
        <w:top w:val="none" w:sz="0" w:space="0" w:color="auto"/>
        <w:left w:val="none" w:sz="0" w:space="0" w:color="auto"/>
        <w:bottom w:val="none" w:sz="0" w:space="0" w:color="auto"/>
        <w:right w:val="none" w:sz="0" w:space="0" w:color="auto"/>
      </w:divBdr>
    </w:div>
    <w:div w:id="1629236091">
      <w:bodyDiv w:val="1"/>
      <w:marLeft w:val="0"/>
      <w:marRight w:val="0"/>
      <w:marTop w:val="0"/>
      <w:marBottom w:val="0"/>
      <w:divBdr>
        <w:top w:val="none" w:sz="0" w:space="0" w:color="auto"/>
        <w:left w:val="none" w:sz="0" w:space="0" w:color="auto"/>
        <w:bottom w:val="none" w:sz="0" w:space="0" w:color="auto"/>
        <w:right w:val="none" w:sz="0" w:space="0" w:color="auto"/>
      </w:divBdr>
      <w:divsChild>
        <w:div w:id="1261638957">
          <w:marLeft w:val="0"/>
          <w:marRight w:val="0"/>
          <w:marTop w:val="0"/>
          <w:marBottom w:val="0"/>
          <w:divBdr>
            <w:top w:val="none" w:sz="0" w:space="0" w:color="auto"/>
            <w:left w:val="none" w:sz="0" w:space="0" w:color="auto"/>
            <w:bottom w:val="none" w:sz="0" w:space="0" w:color="auto"/>
            <w:right w:val="none" w:sz="0" w:space="0" w:color="auto"/>
          </w:divBdr>
        </w:div>
        <w:div w:id="1684672180">
          <w:marLeft w:val="0"/>
          <w:marRight w:val="0"/>
          <w:marTop w:val="0"/>
          <w:marBottom w:val="0"/>
          <w:divBdr>
            <w:top w:val="none" w:sz="0" w:space="0" w:color="auto"/>
            <w:left w:val="none" w:sz="0" w:space="0" w:color="auto"/>
            <w:bottom w:val="none" w:sz="0" w:space="0" w:color="auto"/>
            <w:right w:val="none" w:sz="0" w:space="0" w:color="auto"/>
          </w:divBdr>
        </w:div>
        <w:div w:id="559901993">
          <w:marLeft w:val="0"/>
          <w:marRight w:val="0"/>
          <w:marTop w:val="0"/>
          <w:marBottom w:val="0"/>
          <w:divBdr>
            <w:top w:val="none" w:sz="0" w:space="0" w:color="auto"/>
            <w:left w:val="none" w:sz="0" w:space="0" w:color="auto"/>
            <w:bottom w:val="none" w:sz="0" w:space="0" w:color="auto"/>
            <w:right w:val="none" w:sz="0" w:space="0" w:color="auto"/>
          </w:divBdr>
        </w:div>
        <w:div w:id="1503354558">
          <w:marLeft w:val="0"/>
          <w:marRight w:val="0"/>
          <w:marTop w:val="0"/>
          <w:marBottom w:val="0"/>
          <w:divBdr>
            <w:top w:val="none" w:sz="0" w:space="0" w:color="auto"/>
            <w:left w:val="none" w:sz="0" w:space="0" w:color="auto"/>
            <w:bottom w:val="none" w:sz="0" w:space="0" w:color="auto"/>
            <w:right w:val="none" w:sz="0" w:space="0" w:color="auto"/>
          </w:divBdr>
        </w:div>
      </w:divsChild>
    </w:div>
    <w:div w:id="1749377294">
      <w:bodyDiv w:val="1"/>
      <w:marLeft w:val="0"/>
      <w:marRight w:val="0"/>
      <w:marTop w:val="0"/>
      <w:marBottom w:val="0"/>
      <w:divBdr>
        <w:top w:val="none" w:sz="0" w:space="0" w:color="auto"/>
        <w:left w:val="none" w:sz="0" w:space="0" w:color="auto"/>
        <w:bottom w:val="none" w:sz="0" w:space="0" w:color="auto"/>
        <w:right w:val="none" w:sz="0" w:space="0" w:color="auto"/>
      </w:divBdr>
    </w:div>
    <w:div w:id="1802916633">
      <w:bodyDiv w:val="1"/>
      <w:marLeft w:val="0"/>
      <w:marRight w:val="0"/>
      <w:marTop w:val="0"/>
      <w:marBottom w:val="0"/>
      <w:divBdr>
        <w:top w:val="none" w:sz="0" w:space="0" w:color="auto"/>
        <w:left w:val="none" w:sz="0" w:space="0" w:color="auto"/>
        <w:bottom w:val="none" w:sz="0" w:space="0" w:color="auto"/>
        <w:right w:val="none" w:sz="0" w:space="0" w:color="auto"/>
      </w:divBdr>
      <w:divsChild>
        <w:div w:id="1120608157">
          <w:marLeft w:val="360"/>
          <w:marRight w:val="0"/>
          <w:marTop w:val="200"/>
          <w:marBottom w:val="0"/>
          <w:divBdr>
            <w:top w:val="none" w:sz="0" w:space="0" w:color="auto"/>
            <w:left w:val="none" w:sz="0" w:space="0" w:color="auto"/>
            <w:bottom w:val="none" w:sz="0" w:space="0" w:color="auto"/>
            <w:right w:val="none" w:sz="0" w:space="0" w:color="auto"/>
          </w:divBdr>
        </w:div>
        <w:div w:id="582030967">
          <w:marLeft w:val="360"/>
          <w:marRight w:val="0"/>
          <w:marTop w:val="200"/>
          <w:marBottom w:val="0"/>
          <w:divBdr>
            <w:top w:val="none" w:sz="0" w:space="0" w:color="auto"/>
            <w:left w:val="none" w:sz="0" w:space="0" w:color="auto"/>
            <w:bottom w:val="none" w:sz="0" w:space="0" w:color="auto"/>
            <w:right w:val="none" w:sz="0" w:space="0" w:color="auto"/>
          </w:divBdr>
        </w:div>
        <w:div w:id="166406165">
          <w:marLeft w:val="360"/>
          <w:marRight w:val="0"/>
          <w:marTop w:val="200"/>
          <w:marBottom w:val="0"/>
          <w:divBdr>
            <w:top w:val="none" w:sz="0" w:space="0" w:color="auto"/>
            <w:left w:val="none" w:sz="0" w:space="0" w:color="auto"/>
            <w:bottom w:val="none" w:sz="0" w:space="0" w:color="auto"/>
            <w:right w:val="none" w:sz="0" w:space="0" w:color="auto"/>
          </w:divBdr>
        </w:div>
        <w:div w:id="2123070752">
          <w:marLeft w:val="360"/>
          <w:marRight w:val="0"/>
          <w:marTop w:val="200"/>
          <w:marBottom w:val="0"/>
          <w:divBdr>
            <w:top w:val="none" w:sz="0" w:space="0" w:color="auto"/>
            <w:left w:val="none" w:sz="0" w:space="0" w:color="auto"/>
            <w:bottom w:val="none" w:sz="0" w:space="0" w:color="auto"/>
            <w:right w:val="none" w:sz="0" w:space="0" w:color="auto"/>
          </w:divBdr>
        </w:div>
      </w:divsChild>
    </w:div>
    <w:div w:id="2000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ciudidasafeguards.com/" TargetMode="External"/><Relationship Id="rId1" Type="http://schemas.openxmlformats.org/officeDocument/2006/relationships/hyperlink" Target="https://www.ciudidasafegu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47095-835B-46B2-B25A-4F762277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Hawes</dc:creator>
  <cp:lastModifiedBy>G. Venus</cp:lastModifiedBy>
  <cp:revision>2</cp:revision>
  <dcterms:created xsi:type="dcterms:W3CDTF">2022-08-14T04:54:00Z</dcterms:created>
  <dcterms:modified xsi:type="dcterms:W3CDTF">2022-08-14T04:54:00Z</dcterms:modified>
</cp:coreProperties>
</file>